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60" w:rsidRPr="00E93A60" w:rsidRDefault="00E93A60" w:rsidP="00E93A6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Lecture 6: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5" w:tooltip="Non-equilibrium thermodynamics" w:history="1">
        <w:r w:rsidRPr="00E93A60">
          <w:rPr>
            <w:rFonts w:ascii="Times New Roman" w:hAnsi="Times New Roman"/>
            <w:b/>
            <w:bCs/>
            <w:color w:val="000000"/>
            <w:sz w:val="28"/>
            <w:szCs w:val="28"/>
          </w:rPr>
          <w:t>Non-equilibrium thermodynamics</w:t>
        </w:r>
      </w:hyperlink>
    </w:p>
    <w:p w:rsidR="00E93A60" w:rsidRPr="00E93A60" w:rsidRDefault="00E93A60" w:rsidP="00E93A60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Linear non</w:t>
      </w:r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</w:rPr>
        <w:t>-</w:t>
      </w:r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equilibrium thermodynamics.</w:t>
      </w:r>
      <w:proofErr w:type="gramEnd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Definition and basic terms.</w:t>
      </w:r>
      <w:proofErr w:type="gramEnd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Force and motion.</w:t>
      </w:r>
      <w:proofErr w:type="gramEnd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Phenomenological coefficients.</w:t>
      </w:r>
      <w:proofErr w:type="gramEnd"/>
      <w:r w:rsidRPr="00E93A60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Conjugate</w:t>
      </w:r>
      <w:r w:rsid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d fluxes</w:t>
      </w:r>
    </w:p>
    <w:p w:rsidR="00E93A60" w:rsidRPr="002E14CE" w:rsidRDefault="00E93A60" w:rsidP="00E93A6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Lecture 7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14CE" w:rsidRPr="002E14CE">
        <w:rPr>
          <w:rFonts w:ascii="Times New Roman" w:hAnsi="Times New Roman"/>
          <w:b/>
          <w:bCs/>
          <w:color w:val="000000"/>
          <w:sz w:val="28"/>
          <w:szCs w:val="28"/>
        </w:rPr>
        <w:t xml:space="preserve">Dissipative </w:t>
      </w:r>
      <w:r w:rsidR="002E14CE">
        <w:rPr>
          <w:rFonts w:ascii="Times New Roman" w:hAnsi="Times New Roman"/>
          <w:b/>
          <w:bCs/>
          <w:color w:val="000000"/>
          <w:sz w:val="28"/>
          <w:szCs w:val="28"/>
        </w:rPr>
        <w:t>function. Entropy and stability</w:t>
      </w:r>
    </w:p>
    <w:p w:rsidR="002F20AD" w:rsidRDefault="002E14CE" w:rsidP="00E93A60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Stationary state. Prigogine principle of minimum entropy production. Time hierarchy of stationary states</w:t>
      </w:r>
    </w:p>
    <w:p w:rsidR="002E14CE" w:rsidRPr="002E14CE" w:rsidRDefault="002E14CE" w:rsidP="002E14CE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E14CE">
        <w:rPr>
          <w:rFonts w:ascii="Times New Roman" w:hAnsi="Times New Roman"/>
          <w:b/>
          <w:bCs/>
          <w:color w:val="000000"/>
          <w:sz w:val="28"/>
          <w:szCs w:val="28"/>
        </w:rPr>
        <w:t>Bioenergetics.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E14CE">
        <w:rPr>
          <w:rFonts w:ascii="Times New Roman" w:hAnsi="Times New Roman"/>
          <w:b/>
          <w:bCs/>
          <w:color w:val="000000"/>
          <w:sz w:val="28"/>
          <w:szCs w:val="28"/>
        </w:rPr>
        <w:t xml:space="preserve">Energy </w:t>
      </w:r>
      <w:r w:rsidRPr="002E14CE">
        <w:rPr>
          <w:rFonts w:ascii="Times New Roman" w:hAnsi="Times New Roman"/>
          <w:b/>
          <w:bCs/>
          <w:color w:val="000000"/>
          <w:sz w:val="28"/>
          <w:szCs w:val="28"/>
        </w:rPr>
        <w:t>transfer in living systems</w:t>
      </w:r>
    </w:p>
    <w:p w:rsidR="002E14CE" w:rsidRDefault="002E14CE" w:rsidP="002E14CE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proofErr w:type="gramStart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Energy.</w:t>
      </w:r>
      <w:proofErr w:type="gramEnd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Metabolism.</w:t>
      </w:r>
      <w:proofErr w:type="gramEnd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Oxidation as a source of metabolic energy.</w:t>
      </w:r>
      <w:proofErr w:type="gramEnd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ATP and energy transduction.</w:t>
      </w:r>
      <w:proofErr w:type="gramEnd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Oxidative phosphorylation reactions </w:t>
      </w:r>
    </w:p>
    <w:p w:rsidR="002E14CE" w:rsidRPr="002E14CE" w:rsidRDefault="002E14CE" w:rsidP="002E14CE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E14CE">
        <w:rPr>
          <w:rFonts w:ascii="Times New Roman" w:hAnsi="Times New Roman"/>
          <w:b/>
          <w:bCs/>
          <w:color w:val="000000"/>
          <w:sz w:val="28"/>
          <w:szCs w:val="28"/>
        </w:rPr>
        <w:t>Membrane transport. Free diffusion of uncharged and charged particles</w:t>
      </w:r>
    </w:p>
    <w:p w:rsidR="002E14CE" w:rsidRDefault="002E14CE" w:rsidP="002E14CE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proofErr w:type="gramStart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Membrane transport – classification.</w:t>
      </w:r>
      <w:proofErr w:type="gramEnd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Fick's law.</w:t>
      </w:r>
      <w:proofErr w:type="gramEnd"/>
      <w:r w:rsidRPr="002E14CE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Ner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nst-Planck molar flux equation</w:t>
      </w:r>
    </w:p>
    <w:p w:rsidR="002E14CE" w:rsidRPr="002E14CE" w:rsidRDefault="002E14CE" w:rsidP="002E14CE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5AFC" w:rsidRPr="00FC5AFC">
        <w:rPr>
          <w:rFonts w:ascii="Times New Roman" w:hAnsi="Times New Roman"/>
          <w:b/>
          <w:bCs/>
          <w:color w:val="000000"/>
          <w:sz w:val="28"/>
          <w:szCs w:val="28"/>
        </w:rPr>
        <w:t>Diffusion through membranes</w:t>
      </w:r>
    </w:p>
    <w:p w:rsidR="00FC5AFC" w:rsidRPr="00FC5AFC" w:rsidRDefault="00FC5AFC" w:rsidP="00FC5AFC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proofErr w:type="gramStart"/>
      <w:r w:rsidRPr="00FC5AFC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Simple diffusion through membranes.</w:t>
      </w:r>
      <w:proofErr w:type="gramEnd"/>
      <w:r w:rsidRPr="00FC5AFC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C5AFC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Permeability.</w:t>
      </w:r>
      <w:proofErr w:type="gramEnd"/>
      <w:r w:rsidRPr="00FC5AFC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C5AFC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Transport of water.</w:t>
      </w:r>
      <w:proofErr w:type="gramEnd"/>
      <w:r w:rsidRPr="00FC5AFC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C5AFC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Filtration and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osmosis.</w:t>
      </w:r>
      <w:proofErr w:type="gramEnd"/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Facilitated diffusion</w:t>
      </w:r>
    </w:p>
    <w:p w:rsidR="000465F7" w:rsidRPr="002E14CE" w:rsidRDefault="000465F7" w:rsidP="000465F7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65F7">
        <w:rPr>
          <w:rFonts w:ascii="Times New Roman" w:hAnsi="Times New Roman"/>
          <w:b/>
          <w:bCs/>
          <w:color w:val="000000"/>
          <w:sz w:val="28"/>
          <w:szCs w:val="28"/>
        </w:rPr>
        <w:t>Active transport</w:t>
      </w:r>
      <w:r w:rsidRPr="00FC5A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0465F7" w:rsidRPr="000465F7" w:rsidRDefault="000465F7" w:rsidP="000465F7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proofErr w:type="gramStart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Primary active transport.</w:t>
      </w:r>
      <w:proofErr w:type="gramEnd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Sodium-potassium ATP-</w:t>
      </w:r>
      <w:proofErr w:type="spellStart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ase</w:t>
      </w:r>
      <w:proofErr w:type="spellEnd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Calcium ATP-</w:t>
      </w:r>
      <w:proofErr w:type="spellStart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ase</w:t>
      </w:r>
      <w:proofErr w:type="spellEnd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Basic steps of ion transport processes. </w:t>
      </w:r>
      <w:proofErr w:type="gramStart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Secondary (ion gradient-driven) active transport.</w:t>
      </w:r>
      <w:proofErr w:type="gramEnd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Lactose permease requires a proton gradient. </w:t>
      </w:r>
      <w:proofErr w:type="gramStart"/>
      <w:r w:rsidRPr="000465F7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Putative mechanism of lactose transport in E. coli.</w:t>
      </w:r>
      <w:proofErr w:type="gramEnd"/>
    </w:p>
    <w:p w:rsidR="008C1682" w:rsidRPr="008C1682" w:rsidRDefault="008C1682" w:rsidP="008C1682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/>
          <w:b/>
          <w:sz w:val="28"/>
          <w:szCs w:val="28"/>
          <w:lang w:val="en-US"/>
        </w:rPr>
        <w:t>12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1682">
        <w:rPr>
          <w:rFonts w:ascii="Times New Roman" w:hAnsi="Times New Roman"/>
          <w:b/>
          <w:bCs/>
          <w:color w:val="000000"/>
          <w:sz w:val="28"/>
          <w:szCs w:val="28"/>
        </w:rPr>
        <w:t>Bioelectrical potentials</w:t>
      </w:r>
    </w:p>
    <w:p w:rsidR="008C1682" w:rsidRDefault="008C1682" w:rsidP="008C1682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proofErr w:type="gram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Diffusion potential.</w:t>
      </w:r>
      <w:proofErr w:type="gram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The Henderson equation.</w:t>
      </w:r>
      <w:proofErr w:type="gram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Time dependence of diffusion potential.</w:t>
      </w:r>
      <w:proofErr w:type="gram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Membrane (equilibrium) potential.</w:t>
      </w:r>
      <w:proofErr w:type="gram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The Nernst equation.</w:t>
      </w:r>
      <w:proofErr w:type="gram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Donnan</w:t>
      </w:r>
      <w:proofErr w:type="spell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potential.</w:t>
      </w:r>
      <w:proofErr w:type="gram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The Gibbs-</w:t>
      </w:r>
      <w:proofErr w:type="spell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Donnan</w:t>
      </w:r>
      <w:proofErr w:type="spell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equilibrium.</w:t>
      </w:r>
      <w:proofErr w:type="gram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Osmotic consequences of the Gibbs-</w:t>
      </w:r>
      <w:proofErr w:type="spellStart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Donnan</w:t>
      </w:r>
      <w:proofErr w:type="spellEnd"/>
      <w:r w:rsidRPr="008C168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equilibrium</w:t>
      </w:r>
    </w:p>
    <w:p w:rsidR="008C1682" w:rsidRPr="00107A12" w:rsidRDefault="008C1682" w:rsidP="008C1682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/>
          <w:b/>
          <w:sz w:val="28"/>
          <w:szCs w:val="28"/>
          <w:lang w:val="en-US"/>
        </w:rPr>
        <w:t>13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07A1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R</w:t>
      </w:r>
      <w:r w:rsidR="00107A12" w:rsidRPr="00107A12">
        <w:rPr>
          <w:rFonts w:ascii="Times New Roman" w:hAnsi="Times New Roman"/>
          <w:b/>
          <w:bCs/>
          <w:color w:val="000000"/>
          <w:sz w:val="28"/>
          <w:szCs w:val="28"/>
        </w:rPr>
        <w:t>esting membrane potential</w:t>
      </w:r>
    </w:p>
    <w:p w:rsidR="00107A12" w:rsidRDefault="00107A12" w:rsidP="00107A12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Generation of </w:t>
      </w:r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resting membrane potential.</w:t>
      </w:r>
      <w:proofErr w:type="gramEnd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The Goldman and Thomas equations.</w:t>
      </w:r>
      <w:proofErr w:type="gramEnd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Factors contributing to the resting potential</w:t>
      </w:r>
    </w:p>
    <w:p w:rsidR="00107A12" w:rsidRPr="00107A12" w:rsidRDefault="00107A12" w:rsidP="00107A12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Lecture </w:t>
      </w:r>
      <w:r w:rsidR="00431DBD">
        <w:rPr>
          <w:rFonts w:ascii="Times New Roman" w:hAnsi="Times New Roman"/>
          <w:b/>
          <w:sz w:val="28"/>
          <w:szCs w:val="28"/>
          <w:lang w:val="en-US"/>
        </w:rPr>
        <w:t>14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07A12">
        <w:rPr>
          <w:rFonts w:ascii="Times New Roman" w:hAnsi="Times New Roman"/>
          <w:b/>
          <w:bCs/>
          <w:color w:val="000000"/>
          <w:sz w:val="28"/>
          <w:szCs w:val="28"/>
        </w:rPr>
        <w:t>Action</w:t>
      </w:r>
      <w:r w:rsidRPr="00107A1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07A12">
        <w:rPr>
          <w:rFonts w:ascii="Times New Roman" w:hAnsi="Times New Roman"/>
          <w:b/>
          <w:bCs/>
          <w:color w:val="000000"/>
          <w:sz w:val="28"/>
          <w:szCs w:val="28"/>
        </w:rPr>
        <w:t>potentia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l</w:t>
      </w:r>
      <w:r w:rsidRPr="00107A1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107A12" w:rsidRPr="00107A12" w:rsidRDefault="00107A12" w:rsidP="00107A12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proofErr w:type="gramStart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Generation of action potential.</w:t>
      </w:r>
      <w:proofErr w:type="gramEnd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Voltage-gated channels.</w:t>
      </w:r>
      <w:proofErr w:type="gramEnd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Saltatory</w:t>
      </w:r>
      <w:proofErr w:type="spellEnd"/>
      <w:r w:rsidRPr="00107A12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conduction</w:t>
      </w:r>
    </w:p>
    <w:p w:rsidR="00431DBD" w:rsidRPr="00431DBD" w:rsidRDefault="00431DBD" w:rsidP="00431DB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/>
          <w:b/>
          <w:sz w:val="28"/>
          <w:szCs w:val="28"/>
          <w:lang w:val="en-US"/>
        </w:rPr>
        <w:t>15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E93A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1DBD">
        <w:rPr>
          <w:rFonts w:ascii="Times New Roman" w:hAnsi="Times New Roman"/>
          <w:b/>
          <w:bCs/>
          <w:color w:val="000000"/>
          <w:sz w:val="28"/>
          <w:szCs w:val="28"/>
        </w:rPr>
        <w:t>Free-radical processes</w:t>
      </w:r>
    </w:p>
    <w:p w:rsidR="00431DBD" w:rsidRPr="00431DBD" w:rsidRDefault="00431DBD" w:rsidP="00431DBD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proofErr w:type="gramStart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Sources of free radical generation in human body.</w:t>
      </w:r>
      <w:proofErr w:type="gramEnd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Lipid peroxidation.</w:t>
      </w:r>
      <w:proofErr w:type="gramEnd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Basic stages.</w:t>
      </w:r>
      <w:proofErr w:type="gramEnd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Antioxidant defense system.</w:t>
      </w:r>
      <w:proofErr w:type="gramEnd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proofErr w:type="gramStart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Enzymic</w:t>
      </w:r>
      <w:proofErr w:type="spellEnd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and </w:t>
      </w:r>
      <w:proofErr w:type="spellStart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nonenzymic</w:t>
      </w:r>
      <w:proofErr w:type="spellEnd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antioxidants.</w:t>
      </w:r>
      <w:proofErr w:type="gramEnd"/>
      <w:r w:rsidRPr="00431DBD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 xml:space="preserve"> Lipid peroxidation and toxicology</w:t>
      </w:r>
    </w:p>
    <w:p w:rsidR="00431DBD" w:rsidRPr="00107A12" w:rsidRDefault="00431DBD" w:rsidP="00431DBD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107A12" w:rsidRPr="00107A12" w:rsidRDefault="00107A12" w:rsidP="00107A12">
      <w:pPr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</w:p>
    <w:sectPr w:rsidR="00107A12" w:rsidRPr="0010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60"/>
    <w:rsid w:val="0000747A"/>
    <w:rsid w:val="0001263D"/>
    <w:rsid w:val="00023838"/>
    <w:rsid w:val="000363D7"/>
    <w:rsid w:val="00042535"/>
    <w:rsid w:val="00043160"/>
    <w:rsid w:val="000435FB"/>
    <w:rsid w:val="000465F7"/>
    <w:rsid w:val="0004760E"/>
    <w:rsid w:val="00054771"/>
    <w:rsid w:val="0005516B"/>
    <w:rsid w:val="00056C3C"/>
    <w:rsid w:val="00060010"/>
    <w:rsid w:val="0006005F"/>
    <w:rsid w:val="00073F87"/>
    <w:rsid w:val="00076BDA"/>
    <w:rsid w:val="0007796C"/>
    <w:rsid w:val="0008146E"/>
    <w:rsid w:val="000847F8"/>
    <w:rsid w:val="00084940"/>
    <w:rsid w:val="0008665E"/>
    <w:rsid w:val="00086747"/>
    <w:rsid w:val="00087599"/>
    <w:rsid w:val="000A260A"/>
    <w:rsid w:val="000A382E"/>
    <w:rsid w:val="000B0DED"/>
    <w:rsid w:val="000C0007"/>
    <w:rsid w:val="000F57B2"/>
    <w:rsid w:val="00101720"/>
    <w:rsid w:val="001018E0"/>
    <w:rsid w:val="00107A12"/>
    <w:rsid w:val="00113C31"/>
    <w:rsid w:val="00116827"/>
    <w:rsid w:val="001438EA"/>
    <w:rsid w:val="00153F67"/>
    <w:rsid w:val="001553F9"/>
    <w:rsid w:val="00155793"/>
    <w:rsid w:val="00155D63"/>
    <w:rsid w:val="0015665B"/>
    <w:rsid w:val="00162A1A"/>
    <w:rsid w:val="00163078"/>
    <w:rsid w:val="00173D43"/>
    <w:rsid w:val="001A1FBC"/>
    <w:rsid w:val="001B5F11"/>
    <w:rsid w:val="001B6010"/>
    <w:rsid w:val="001C1222"/>
    <w:rsid w:val="001E0A44"/>
    <w:rsid w:val="001E454D"/>
    <w:rsid w:val="001E476F"/>
    <w:rsid w:val="001E7C81"/>
    <w:rsid w:val="00201269"/>
    <w:rsid w:val="002106F5"/>
    <w:rsid w:val="002262C5"/>
    <w:rsid w:val="00235415"/>
    <w:rsid w:val="002364E6"/>
    <w:rsid w:val="00245068"/>
    <w:rsid w:val="00250390"/>
    <w:rsid w:val="00252231"/>
    <w:rsid w:val="0025509B"/>
    <w:rsid w:val="002620CF"/>
    <w:rsid w:val="0026359F"/>
    <w:rsid w:val="002646F5"/>
    <w:rsid w:val="00266AE0"/>
    <w:rsid w:val="00272FB0"/>
    <w:rsid w:val="00285EF4"/>
    <w:rsid w:val="00291BBB"/>
    <w:rsid w:val="002941CE"/>
    <w:rsid w:val="002A1A63"/>
    <w:rsid w:val="002A4281"/>
    <w:rsid w:val="002A6D7D"/>
    <w:rsid w:val="002B040A"/>
    <w:rsid w:val="002B5DE0"/>
    <w:rsid w:val="002D1BFD"/>
    <w:rsid w:val="002D2A5D"/>
    <w:rsid w:val="002D4718"/>
    <w:rsid w:val="002D4B6A"/>
    <w:rsid w:val="002E14CE"/>
    <w:rsid w:val="002E4D94"/>
    <w:rsid w:val="002E6AC6"/>
    <w:rsid w:val="002F20AD"/>
    <w:rsid w:val="002F28D5"/>
    <w:rsid w:val="002F6F57"/>
    <w:rsid w:val="00301180"/>
    <w:rsid w:val="00317EC9"/>
    <w:rsid w:val="0032038A"/>
    <w:rsid w:val="00331DA3"/>
    <w:rsid w:val="00340990"/>
    <w:rsid w:val="00342C59"/>
    <w:rsid w:val="003514BE"/>
    <w:rsid w:val="00361820"/>
    <w:rsid w:val="00361CC3"/>
    <w:rsid w:val="00362E73"/>
    <w:rsid w:val="0036550E"/>
    <w:rsid w:val="00366164"/>
    <w:rsid w:val="003737BC"/>
    <w:rsid w:val="00381FF8"/>
    <w:rsid w:val="003856FD"/>
    <w:rsid w:val="00390BC3"/>
    <w:rsid w:val="003A2EE8"/>
    <w:rsid w:val="003A3DC0"/>
    <w:rsid w:val="003A645C"/>
    <w:rsid w:val="003B0697"/>
    <w:rsid w:val="003C26C9"/>
    <w:rsid w:val="003C334F"/>
    <w:rsid w:val="003C7455"/>
    <w:rsid w:val="003D67A9"/>
    <w:rsid w:val="003F1375"/>
    <w:rsid w:val="003F2100"/>
    <w:rsid w:val="003F28D4"/>
    <w:rsid w:val="003F404A"/>
    <w:rsid w:val="003F4B48"/>
    <w:rsid w:val="003F71A3"/>
    <w:rsid w:val="004058A4"/>
    <w:rsid w:val="00405A7B"/>
    <w:rsid w:val="00421556"/>
    <w:rsid w:val="004255EA"/>
    <w:rsid w:val="00430A48"/>
    <w:rsid w:val="00431DBD"/>
    <w:rsid w:val="00447559"/>
    <w:rsid w:val="00467874"/>
    <w:rsid w:val="00477913"/>
    <w:rsid w:val="00481EB2"/>
    <w:rsid w:val="004844EE"/>
    <w:rsid w:val="004A0D45"/>
    <w:rsid w:val="004C4363"/>
    <w:rsid w:val="004C6AD3"/>
    <w:rsid w:val="004C7977"/>
    <w:rsid w:val="004F452F"/>
    <w:rsid w:val="005004AC"/>
    <w:rsid w:val="00503D12"/>
    <w:rsid w:val="005049CB"/>
    <w:rsid w:val="00512861"/>
    <w:rsid w:val="005132BC"/>
    <w:rsid w:val="00514E9F"/>
    <w:rsid w:val="00516446"/>
    <w:rsid w:val="0052122F"/>
    <w:rsid w:val="00526A41"/>
    <w:rsid w:val="00543532"/>
    <w:rsid w:val="00552FA0"/>
    <w:rsid w:val="00553D41"/>
    <w:rsid w:val="00556752"/>
    <w:rsid w:val="00562B35"/>
    <w:rsid w:val="0057657D"/>
    <w:rsid w:val="00577721"/>
    <w:rsid w:val="005804B6"/>
    <w:rsid w:val="005833B2"/>
    <w:rsid w:val="005A21E0"/>
    <w:rsid w:val="005A66BD"/>
    <w:rsid w:val="005B0CDA"/>
    <w:rsid w:val="005B7817"/>
    <w:rsid w:val="005C33C3"/>
    <w:rsid w:val="005C4D91"/>
    <w:rsid w:val="005C6908"/>
    <w:rsid w:val="005C7BCB"/>
    <w:rsid w:val="005D008B"/>
    <w:rsid w:val="005D4AE8"/>
    <w:rsid w:val="005E68BD"/>
    <w:rsid w:val="005F2B5F"/>
    <w:rsid w:val="005F7B73"/>
    <w:rsid w:val="005F7D3B"/>
    <w:rsid w:val="00607C71"/>
    <w:rsid w:val="00614EC6"/>
    <w:rsid w:val="00616931"/>
    <w:rsid w:val="006338AF"/>
    <w:rsid w:val="00652EDE"/>
    <w:rsid w:val="00660DE6"/>
    <w:rsid w:val="00680EF7"/>
    <w:rsid w:val="006A254A"/>
    <w:rsid w:val="006A4014"/>
    <w:rsid w:val="006C075C"/>
    <w:rsid w:val="006C2C34"/>
    <w:rsid w:val="006C77F1"/>
    <w:rsid w:val="006D12BE"/>
    <w:rsid w:val="007013CE"/>
    <w:rsid w:val="007063DE"/>
    <w:rsid w:val="00723F85"/>
    <w:rsid w:val="00730F0E"/>
    <w:rsid w:val="00731370"/>
    <w:rsid w:val="00735DC9"/>
    <w:rsid w:val="00741090"/>
    <w:rsid w:val="00752AE5"/>
    <w:rsid w:val="007573E3"/>
    <w:rsid w:val="00766174"/>
    <w:rsid w:val="007748FD"/>
    <w:rsid w:val="00777739"/>
    <w:rsid w:val="00791F85"/>
    <w:rsid w:val="007952A9"/>
    <w:rsid w:val="007971AD"/>
    <w:rsid w:val="007A4261"/>
    <w:rsid w:val="007C1EB7"/>
    <w:rsid w:val="007C3C7A"/>
    <w:rsid w:val="007D14E3"/>
    <w:rsid w:val="007D5F6B"/>
    <w:rsid w:val="007E671A"/>
    <w:rsid w:val="00806496"/>
    <w:rsid w:val="0080651E"/>
    <w:rsid w:val="00807CF5"/>
    <w:rsid w:val="0081687D"/>
    <w:rsid w:val="00823416"/>
    <w:rsid w:val="00824870"/>
    <w:rsid w:val="00834E60"/>
    <w:rsid w:val="008453A7"/>
    <w:rsid w:val="00866662"/>
    <w:rsid w:val="00870298"/>
    <w:rsid w:val="008747CA"/>
    <w:rsid w:val="0087609E"/>
    <w:rsid w:val="0087675D"/>
    <w:rsid w:val="008A5C3E"/>
    <w:rsid w:val="008C0CDE"/>
    <w:rsid w:val="008C1682"/>
    <w:rsid w:val="008C3C96"/>
    <w:rsid w:val="008C41B0"/>
    <w:rsid w:val="008D593D"/>
    <w:rsid w:val="008E080B"/>
    <w:rsid w:val="008E3EAE"/>
    <w:rsid w:val="008E71F3"/>
    <w:rsid w:val="008F226A"/>
    <w:rsid w:val="00900BA0"/>
    <w:rsid w:val="009071DD"/>
    <w:rsid w:val="00911550"/>
    <w:rsid w:val="00930F4E"/>
    <w:rsid w:val="00934545"/>
    <w:rsid w:val="0094392B"/>
    <w:rsid w:val="00960C2A"/>
    <w:rsid w:val="00965348"/>
    <w:rsid w:val="009659BF"/>
    <w:rsid w:val="009716DA"/>
    <w:rsid w:val="00973F9F"/>
    <w:rsid w:val="00974E85"/>
    <w:rsid w:val="0098260A"/>
    <w:rsid w:val="009916B7"/>
    <w:rsid w:val="0099258A"/>
    <w:rsid w:val="009A1E3E"/>
    <w:rsid w:val="009A2592"/>
    <w:rsid w:val="009A2BE1"/>
    <w:rsid w:val="009A5EBB"/>
    <w:rsid w:val="009B7711"/>
    <w:rsid w:val="009C00F8"/>
    <w:rsid w:val="009C7180"/>
    <w:rsid w:val="009D0CA9"/>
    <w:rsid w:val="009D3D23"/>
    <w:rsid w:val="009D7A42"/>
    <w:rsid w:val="009D7C73"/>
    <w:rsid w:val="009E2879"/>
    <w:rsid w:val="009E3380"/>
    <w:rsid w:val="009E4678"/>
    <w:rsid w:val="009F083C"/>
    <w:rsid w:val="009F786E"/>
    <w:rsid w:val="00A0184D"/>
    <w:rsid w:val="00A04F99"/>
    <w:rsid w:val="00A1208C"/>
    <w:rsid w:val="00A2489C"/>
    <w:rsid w:val="00A46BCD"/>
    <w:rsid w:val="00A5379B"/>
    <w:rsid w:val="00A60D4E"/>
    <w:rsid w:val="00A61D9B"/>
    <w:rsid w:val="00A63220"/>
    <w:rsid w:val="00A66EAC"/>
    <w:rsid w:val="00A6790E"/>
    <w:rsid w:val="00A77886"/>
    <w:rsid w:val="00A81589"/>
    <w:rsid w:val="00AA1E71"/>
    <w:rsid w:val="00AB21CC"/>
    <w:rsid w:val="00AB31EE"/>
    <w:rsid w:val="00AD164F"/>
    <w:rsid w:val="00AD27E7"/>
    <w:rsid w:val="00AD41A7"/>
    <w:rsid w:val="00B02FAF"/>
    <w:rsid w:val="00B03E57"/>
    <w:rsid w:val="00B160DC"/>
    <w:rsid w:val="00B23F44"/>
    <w:rsid w:val="00B335F8"/>
    <w:rsid w:val="00B344E5"/>
    <w:rsid w:val="00B52D4D"/>
    <w:rsid w:val="00B55984"/>
    <w:rsid w:val="00B61F1D"/>
    <w:rsid w:val="00B76596"/>
    <w:rsid w:val="00B773F3"/>
    <w:rsid w:val="00B81343"/>
    <w:rsid w:val="00B82ADA"/>
    <w:rsid w:val="00B95944"/>
    <w:rsid w:val="00B96010"/>
    <w:rsid w:val="00B96BC4"/>
    <w:rsid w:val="00BA43AF"/>
    <w:rsid w:val="00BB7A9E"/>
    <w:rsid w:val="00BC3333"/>
    <w:rsid w:val="00BD0711"/>
    <w:rsid w:val="00BD66D3"/>
    <w:rsid w:val="00BD7345"/>
    <w:rsid w:val="00BD7EE6"/>
    <w:rsid w:val="00BE406C"/>
    <w:rsid w:val="00BE74A6"/>
    <w:rsid w:val="00C11AF9"/>
    <w:rsid w:val="00C14BE2"/>
    <w:rsid w:val="00C15B2F"/>
    <w:rsid w:val="00C2153A"/>
    <w:rsid w:val="00C36AAF"/>
    <w:rsid w:val="00C40D67"/>
    <w:rsid w:val="00C47C21"/>
    <w:rsid w:val="00C50C6C"/>
    <w:rsid w:val="00C5270C"/>
    <w:rsid w:val="00C61F98"/>
    <w:rsid w:val="00C700D9"/>
    <w:rsid w:val="00C73931"/>
    <w:rsid w:val="00C85CC2"/>
    <w:rsid w:val="00CA4E63"/>
    <w:rsid w:val="00CA6026"/>
    <w:rsid w:val="00CB3704"/>
    <w:rsid w:val="00CC2F5F"/>
    <w:rsid w:val="00CC77DE"/>
    <w:rsid w:val="00CD0A13"/>
    <w:rsid w:val="00CD260E"/>
    <w:rsid w:val="00CE1857"/>
    <w:rsid w:val="00CF27C9"/>
    <w:rsid w:val="00CF64B1"/>
    <w:rsid w:val="00CF7EC8"/>
    <w:rsid w:val="00D003B2"/>
    <w:rsid w:val="00D04F46"/>
    <w:rsid w:val="00D0640A"/>
    <w:rsid w:val="00D178B9"/>
    <w:rsid w:val="00D25446"/>
    <w:rsid w:val="00D2561C"/>
    <w:rsid w:val="00D3027F"/>
    <w:rsid w:val="00D430AE"/>
    <w:rsid w:val="00D44C41"/>
    <w:rsid w:val="00D46C21"/>
    <w:rsid w:val="00D518FA"/>
    <w:rsid w:val="00D61212"/>
    <w:rsid w:val="00D629DA"/>
    <w:rsid w:val="00D64A9D"/>
    <w:rsid w:val="00D721BC"/>
    <w:rsid w:val="00D91232"/>
    <w:rsid w:val="00DA28FA"/>
    <w:rsid w:val="00DA59E5"/>
    <w:rsid w:val="00DA66C8"/>
    <w:rsid w:val="00DB043D"/>
    <w:rsid w:val="00DB6D98"/>
    <w:rsid w:val="00DD15E8"/>
    <w:rsid w:val="00DE4A5B"/>
    <w:rsid w:val="00E31BD8"/>
    <w:rsid w:val="00E32F17"/>
    <w:rsid w:val="00E3390A"/>
    <w:rsid w:val="00E4084C"/>
    <w:rsid w:val="00E42B39"/>
    <w:rsid w:val="00E46F74"/>
    <w:rsid w:val="00E54410"/>
    <w:rsid w:val="00E621C7"/>
    <w:rsid w:val="00E6242D"/>
    <w:rsid w:val="00E64416"/>
    <w:rsid w:val="00E645F1"/>
    <w:rsid w:val="00E64882"/>
    <w:rsid w:val="00E65E30"/>
    <w:rsid w:val="00E70362"/>
    <w:rsid w:val="00E712D8"/>
    <w:rsid w:val="00E73621"/>
    <w:rsid w:val="00E757A7"/>
    <w:rsid w:val="00E93A60"/>
    <w:rsid w:val="00E96F91"/>
    <w:rsid w:val="00EA45A4"/>
    <w:rsid w:val="00EA6FA7"/>
    <w:rsid w:val="00EB1020"/>
    <w:rsid w:val="00EB3460"/>
    <w:rsid w:val="00ED001D"/>
    <w:rsid w:val="00ED2470"/>
    <w:rsid w:val="00ED61F4"/>
    <w:rsid w:val="00ED7F68"/>
    <w:rsid w:val="00EE39AB"/>
    <w:rsid w:val="00EE6ECB"/>
    <w:rsid w:val="00F03058"/>
    <w:rsid w:val="00F07AB5"/>
    <w:rsid w:val="00F129F1"/>
    <w:rsid w:val="00F1672B"/>
    <w:rsid w:val="00F25ED5"/>
    <w:rsid w:val="00F3088A"/>
    <w:rsid w:val="00F30A53"/>
    <w:rsid w:val="00F32955"/>
    <w:rsid w:val="00F423D2"/>
    <w:rsid w:val="00F528A7"/>
    <w:rsid w:val="00F56AE5"/>
    <w:rsid w:val="00F578F5"/>
    <w:rsid w:val="00F61A22"/>
    <w:rsid w:val="00F639BC"/>
    <w:rsid w:val="00F64086"/>
    <w:rsid w:val="00F761CE"/>
    <w:rsid w:val="00F8011B"/>
    <w:rsid w:val="00F8738D"/>
    <w:rsid w:val="00FA109C"/>
    <w:rsid w:val="00FA114E"/>
    <w:rsid w:val="00FA7D2D"/>
    <w:rsid w:val="00FB12B9"/>
    <w:rsid w:val="00FB50BA"/>
    <w:rsid w:val="00FB6ABB"/>
    <w:rsid w:val="00FC2BED"/>
    <w:rsid w:val="00FC5AFC"/>
    <w:rsid w:val="00FD47EE"/>
    <w:rsid w:val="00FD5895"/>
    <w:rsid w:val="00FD5C7C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E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EE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EE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D7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BD7EE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xt">
    <w:name w:val="Style text"/>
    <w:basedOn w:val="Normal"/>
    <w:link w:val="StyletextChar"/>
    <w:qFormat/>
    <w:rsid w:val="00BD7EE6"/>
    <w:pPr>
      <w:widowControl w:val="0"/>
      <w:shd w:val="clear" w:color="auto" w:fill="FFFFFF"/>
      <w:autoSpaceDE w:val="0"/>
      <w:autoSpaceDN w:val="0"/>
      <w:adjustRightInd w:val="0"/>
      <w:spacing w:before="5" w:after="0" w:line="360" w:lineRule="auto"/>
      <w:ind w:firstLine="720"/>
      <w:jc w:val="both"/>
    </w:pPr>
    <w:rPr>
      <w:rFonts w:ascii="Times New Roman" w:eastAsia="Times New Roman" w:hAnsi="Times New Roman"/>
      <w:color w:val="000000"/>
      <w:spacing w:val="12"/>
      <w:sz w:val="24"/>
      <w:szCs w:val="24"/>
      <w:lang w:val="en-US"/>
    </w:rPr>
  </w:style>
  <w:style w:type="character" w:customStyle="1" w:styleId="StyletextChar">
    <w:name w:val="Style text Char"/>
    <w:link w:val="Styletext"/>
    <w:rsid w:val="00BD7EE6"/>
    <w:rPr>
      <w:rFonts w:ascii="Times New Roman" w:eastAsia="Times New Roman" w:hAnsi="Times New Roman"/>
      <w:color w:val="000000"/>
      <w:spacing w:val="12"/>
      <w:sz w:val="24"/>
      <w:szCs w:val="24"/>
      <w:shd w:val="clear" w:color="auto" w:fill="FFFFFF"/>
      <w:lang w:val="en-US"/>
    </w:rPr>
  </w:style>
  <w:style w:type="paragraph" w:customStyle="1" w:styleId="Stylefigures">
    <w:name w:val="Style figures"/>
    <w:basedOn w:val="Normal"/>
    <w:link w:val="StylefiguresChar"/>
    <w:qFormat/>
    <w:rsid w:val="00BD7EE6"/>
    <w:pPr>
      <w:widowControl w:val="0"/>
      <w:shd w:val="clear" w:color="auto" w:fill="FFFFFF"/>
      <w:autoSpaceDE w:val="0"/>
      <w:autoSpaceDN w:val="0"/>
      <w:adjustRightInd w:val="0"/>
      <w:spacing w:before="110" w:after="0" w:line="360" w:lineRule="auto"/>
      <w:jc w:val="center"/>
    </w:pPr>
    <w:rPr>
      <w:rFonts w:ascii="Times New Roman" w:eastAsia="Times New Roman" w:hAnsi="Times New Roman"/>
      <w:i/>
      <w:color w:val="000000"/>
      <w:lang w:val="en-US"/>
    </w:rPr>
  </w:style>
  <w:style w:type="character" w:customStyle="1" w:styleId="StylefiguresChar">
    <w:name w:val="Style figures Char"/>
    <w:link w:val="Stylefigures"/>
    <w:rsid w:val="00BD7EE6"/>
    <w:rPr>
      <w:rFonts w:ascii="Times New Roman" w:eastAsia="Times New Roman" w:hAnsi="Times New Roman"/>
      <w:i/>
      <w:color w:val="000000"/>
      <w:sz w:val="22"/>
      <w:szCs w:val="22"/>
      <w:shd w:val="clear" w:color="auto" w:fill="FFFFFF"/>
      <w:lang w:val="en-US"/>
    </w:rPr>
  </w:style>
  <w:style w:type="character" w:customStyle="1" w:styleId="Heading1Char">
    <w:name w:val="Heading 1 Char"/>
    <w:link w:val="Heading1"/>
    <w:uiPriority w:val="9"/>
    <w:rsid w:val="00BD7EE6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BD7EE6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BD7EE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BD7EE6"/>
    <w:rPr>
      <w:rFonts w:eastAsia="Times New Roman"/>
      <w:b/>
      <w:bCs/>
      <w:sz w:val="28"/>
      <w:szCs w:val="28"/>
      <w:lang w:val="en-US"/>
    </w:rPr>
  </w:style>
  <w:style w:type="character" w:styleId="Strong">
    <w:name w:val="Strong"/>
    <w:uiPriority w:val="22"/>
    <w:qFormat/>
    <w:rsid w:val="00BD7EE6"/>
    <w:rPr>
      <w:b/>
      <w:bCs/>
    </w:rPr>
  </w:style>
  <w:style w:type="character" w:styleId="Emphasis">
    <w:name w:val="Emphasis"/>
    <w:uiPriority w:val="20"/>
    <w:qFormat/>
    <w:rsid w:val="00BD7EE6"/>
    <w:rPr>
      <w:i/>
      <w:iCs/>
    </w:rPr>
  </w:style>
  <w:style w:type="paragraph" w:styleId="ListParagraph">
    <w:name w:val="List Paragraph"/>
    <w:basedOn w:val="Normal"/>
    <w:uiPriority w:val="34"/>
    <w:qFormat/>
    <w:rsid w:val="00BD7E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1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E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EE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EE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D7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BD7EE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xt">
    <w:name w:val="Style text"/>
    <w:basedOn w:val="Normal"/>
    <w:link w:val="StyletextChar"/>
    <w:qFormat/>
    <w:rsid w:val="00BD7EE6"/>
    <w:pPr>
      <w:widowControl w:val="0"/>
      <w:shd w:val="clear" w:color="auto" w:fill="FFFFFF"/>
      <w:autoSpaceDE w:val="0"/>
      <w:autoSpaceDN w:val="0"/>
      <w:adjustRightInd w:val="0"/>
      <w:spacing w:before="5" w:after="0" w:line="360" w:lineRule="auto"/>
      <w:ind w:firstLine="720"/>
      <w:jc w:val="both"/>
    </w:pPr>
    <w:rPr>
      <w:rFonts w:ascii="Times New Roman" w:eastAsia="Times New Roman" w:hAnsi="Times New Roman"/>
      <w:color w:val="000000"/>
      <w:spacing w:val="12"/>
      <w:sz w:val="24"/>
      <w:szCs w:val="24"/>
      <w:lang w:val="en-US"/>
    </w:rPr>
  </w:style>
  <w:style w:type="character" w:customStyle="1" w:styleId="StyletextChar">
    <w:name w:val="Style text Char"/>
    <w:link w:val="Styletext"/>
    <w:rsid w:val="00BD7EE6"/>
    <w:rPr>
      <w:rFonts w:ascii="Times New Roman" w:eastAsia="Times New Roman" w:hAnsi="Times New Roman"/>
      <w:color w:val="000000"/>
      <w:spacing w:val="12"/>
      <w:sz w:val="24"/>
      <w:szCs w:val="24"/>
      <w:shd w:val="clear" w:color="auto" w:fill="FFFFFF"/>
      <w:lang w:val="en-US"/>
    </w:rPr>
  </w:style>
  <w:style w:type="paragraph" w:customStyle="1" w:styleId="Stylefigures">
    <w:name w:val="Style figures"/>
    <w:basedOn w:val="Normal"/>
    <w:link w:val="StylefiguresChar"/>
    <w:qFormat/>
    <w:rsid w:val="00BD7EE6"/>
    <w:pPr>
      <w:widowControl w:val="0"/>
      <w:shd w:val="clear" w:color="auto" w:fill="FFFFFF"/>
      <w:autoSpaceDE w:val="0"/>
      <w:autoSpaceDN w:val="0"/>
      <w:adjustRightInd w:val="0"/>
      <w:spacing w:before="110" w:after="0" w:line="360" w:lineRule="auto"/>
      <w:jc w:val="center"/>
    </w:pPr>
    <w:rPr>
      <w:rFonts w:ascii="Times New Roman" w:eastAsia="Times New Roman" w:hAnsi="Times New Roman"/>
      <w:i/>
      <w:color w:val="000000"/>
      <w:lang w:val="en-US"/>
    </w:rPr>
  </w:style>
  <w:style w:type="character" w:customStyle="1" w:styleId="StylefiguresChar">
    <w:name w:val="Style figures Char"/>
    <w:link w:val="Stylefigures"/>
    <w:rsid w:val="00BD7EE6"/>
    <w:rPr>
      <w:rFonts w:ascii="Times New Roman" w:eastAsia="Times New Roman" w:hAnsi="Times New Roman"/>
      <w:i/>
      <w:color w:val="000000"/>
      <w:sz w:val="22"/>
      <w:szCs w:val="22"/>
      <w:shd w:val="clear" w:color="auto" w:fill="FFFFFF"/>
      <w:lang w:val="en-US"/>
    </w:rPr>
  </w:style>
  <w:style w:type="character" w:customStyle="1" w:styleId="Heading1Char">
    <w:name w:val="Heading 1 Char"/>
    <w:link w:val="Heading1"/>
    <w:uiPriority w:val="9"/>
    <w:rsid w:val="00BD7EE6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BD7EE6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BD7EE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BD7EE6"/>
    <w:rPr>
      <w:rFonts w:eastAsia="Times New Roman"/>
      <w:b/>
      <w:bCs/>
      <w:sz w:val="28"/>
      <w:szCs w:val="28"/>
      <w:lang w:val="en-US"/>
    </w:rPr>
  </w:style>
  <w:style w:type="character" w:styleId="Strong">
    <w:name w:val="Strong"/>
    <w:uiPriority w:val="22"/>
    <w:qFormat/>
    <w:rsid w:val="00BD7EE6"/>
    <w:rPr>
      <w:b/>
      <w:bCs/>
    </w:rPr>
  </w:style>
  <w:style w:type="character" w:styleId="Emphasis">
    <w:name w:val="Emphasis"/>
    <w:uiPriority w:val="20"/>
    <w:qFormat/>
    <w:rsid w:val="00BD7EE6"/>
    <w:rPr>
      <w:i/>
      <w:iCs/>
    </w:rPr>
  </w:style>
  <w:style w:type="paragraph" w:styleId="ListParagraph">
    <w:name w:val="List Paragraph"/>
    <w:basedOn w:val="Normal"/>
    <w:uiPriority w:val="34"/>
    <w:qFormat/>
    <w:rsid w:val="00BD7E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1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Non-equilibrium_thermodynam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 Pleven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2016-10-12T15:11:00Z</dcterms:created>
  <dcterms:modified xsi:type="dcterms:W3CDTF">2016-10-12T15:49:00Z</dcterms:modified>
</cp:coreProperties>
</file>