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FA" w:rsidRDefault="003551FA" w:rsidP="003551FA">
      <w:pPr>
        <w:jc w:val="center"/>
        <w:rPr>
          <w:lang w:val="bg-BG"/>
        </w:rPr>
      </w:pPr>
      <w:r>
        <w:rPr>
          <w:lang w:val="bg-BG"/>
        </w:rPr>
        <w:t>ОБЩИ БЕЛЕЖКИ И ПРЕПОРЪКИ</w:t>
      </w:r>
    </w:p>
    <w:p w:rsidR="003551FA" w:rsidRDefault="003551FA" w:rsidP="003551FA">
      <w:pPr>
        <w:jc w:val="center"/>
        <w:rPr>
          <w:lang w:val="bg-BG"/>
        </w:rPr>
      </w:pPr>
    </w:p>
    <w:p w:rsidR="003551FA" w:rsidRDefault="003551FA" w:rsidP="003551FA">
      <w:pPr>
        <w:jc w:val="both"/>
        <w:rPr>
          <w:lang w:val="bg-BG"/>
        </w:rPr>
      </w:pPr>
      <w:r>
        <w:rPr>
          <w:lang w:val="bg-BG"/>
        </w:rPr>
        <w:t xml:space="preserve">Обучението по физиология трябва да постигне следните </w:t>
      </w:r>
      <w:r>
        <w:rPr>
          <w:b/>
          <w:i/>
          <w:lang w:val="bg-BG"/>
        </w:rPr>
        <w:t>задачи</w:t>
      </w:r>
      <w:r>
        <w:rPr>
          <w:lang w:val="bg-BG"/>
        </w:rPr>
        <w:t xml:space="preserve"> при студентите-магистри по медицина: </w:t>
      </w:r>
    </w:p>
    <w:p w:rsidR="003551FA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усвоят необходимият обем знания по физиология на човека, предвиден в учебното съдържание</w:t>
      </w:r>
    </w:p>
    <w:p w:rsidR="003551FA" w:rsidRPr="003551FA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 w:rsidRPr="003551FA">
        <w:rPr>
          <w:lang w:val="bg-BG"/>
        </w:rPr>
        <w:t xml:space="preserve">Да прилагат знанията си по химия, биохимия, физика, биофизика, обща биология и морфология при отговаряне на въпроси и решаване на задачи от областта на физиологията </w:t>
      </w:r>
    </w:p>
    <w:p w:rsidR="003551FA" w:rsidRPr="00F079ED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прилагат знанията си от различни раздели на физиологията при решаване на проблеми, свързани с адаптацията на човешкия организъм към различни състояния  и условия на средата.</w:t>
      </w:r>
    </w:p>
    <w:p w:rsidR="003551FA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придобият сръчности и умения за провеждане на експерименти на животни, предвидени в учебната програма,  и да интерпретират получените в експеримента резултати.</w:t>
      </w:r>
    </w:p>
    <w:p w:rsidR="003551FA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извършват следните клинични методи на изследване: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регистриране на електрокардиограма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аускултация на сърдечни тонове 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фонокардиография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измерване на артериално налягане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измерване на белодробни обеми и капацитети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газовия състав на издишания въздух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на енергоразход по метода на непряката калориметрия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клирънсов метод за изследване на бъбречната функция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на показатели на алкално-киселинното равновесие и корекция на отклоненията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диагностика на ранна бременност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изследване на клинично важни рефлекси у човек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аудиометрия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изследване на зрителна острота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изследване на цветно зрение 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изследване на зенични рефлекси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периметрия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електроенцефалография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ергография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брой на левкоцити и еритроцити; хемоглобин, хематокрит и изчисляване на еритроцитни индекси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на СУЕ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време на кръвоспиране и кръвосъсирване</w:t>
      </w:r>
    </w:p>
    <w:p w:rsidR="003551FA" w:rsidRDefault="003551FA" w:rsidP="003551FA">
      <w:pPr>
        <w:widowControl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определяне на кръвни групи</w:t>
      </w:r>
    </w:p>
    <w:p w:rsidR="003551FA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извършват анализ на резултатите от извършените клинични методи на изследване</w:t>
      </w:r>
    </w:p>
    <w:p w:rsidR="003551FA" w:rsidRDefault="003551FA" w:rsidP="003551FA">
      <w:pPr>
        <w:widowControl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Да познават физиологичните интервали на основни показатели на състава на телесните течности и на параметри, характеризиращи основни функции в човешкия организъм.</w:t>
      </w:r>
    </w:p>
    <w:p w:rsidR="003551FA" w:rsidRDefault="003551FA" w:rsidP="003551FA"/>
    <w:p w:rsidR="003551FA" w:rsidRDefault="003551FA" w:rsidP="003551FA">
      <w:pPr>
        <w:widowControl/>
        <w:jc w:val="both"/>
        <w:rPr>
          <w:lang w:val="bg-BG"/>
        </w:rPr>
      </w:pPr>
    </w:p>
    <w:p w:rsidR="003551FA" w:rsidRDefault="003551FA" w:rsidP="003551FA">
      <w:pPr>
        <w:widowControl/>
        <w:jc w:val="both"/>
        <w:rPr>
          <w:lang w:val="bg-BG"/>
        </w:rPr>
      </w:pPr>
    </w:p>
    <w:p w:rsidR="003551FA" w:rsidRDefault="003551FA" w:rsidP="003551FA">
      <w:pPr>
        <w:widowControl/>
        <w:jc w:val="both"/>
        <w:rPr>
          <w:lang w:val="bg-BG"/>
        </w:rPr>
      </w:pPr>
    </w:p>
    <w:p w:rsidR="003551FA" w:rsidRDefault="003551FA" w:rsidP="003551FA">
      <w:pPr>
        <w:widowControl/>
        <w:jc w:val="both"/>
        <w:rPr>
          <w:lang w:val="bg-BG"/>
        </w:rPr>
      </w:pPr>
    </w:p>
    <w:sectPr w:rsidR="003551FA" w:rsidSect="00FD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vCyr">
    <w:altName w:val="Arial"/>
    <w:charset w:val="00"/>
    <w:family w:val="swiss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A4F"/>
    <w:multiLevelType w:val="hybridMultilevel"/>
    <w:tmpl w:val="A874FA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D259D"/>
    <w:multiLevelType w:val="hybridMultilevel"/>
    <w:tmpl w:val="4C409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B161D"/>
    <w:multiLevelType w:val="hybridMultilevel"/>
    <w:tmpl w:val="54FA4B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Unv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Unv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Unv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4AF279E"/>
    <w:multiLevelType w:val="singleLevel"/>
    <w:tmpl w:val="20D284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3551FA"/>
    <w:rsid w:val="003551FA"/>
    <w:rsid w:val="00FD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551FA"/>
  </w:style>
  <w:style w:type="paragraph" w:styleId="Header">
    <w:name w:val="header"/>
    <w:basedOn w:val="Normal"/>
    <w:link w:val="HeaderChar"/>
    <w:rsid w:val="003551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1F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55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2017-10-13T10:19:00Z</dcterms:created>
  <dcterms:modified xsi:type="dcterms:W3CDTF">2017-10-13T10:28:00Z</dcterms:modified>
</cp:coreProperties>
</file>