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44" w:rsidRPr="00B438D7" w:rsidRDefault="00EA4444">
      <w:pPr>
        <w:spacing w:line="280" w:lineRule="exact"/>
        <w:jc w:val="center"/>
        <w:rPr>
          <w:rFonts w:ascii="Times New Roman" w:hAnsi="Times New Roman"/>
          <w:b/>
          <w:bCs/>
          <w:lang w:val="bg-BG"/>
        </w:rPr>
      </w:pPr>
    </w:p>
    <w:p w:rsidR="00EA4444" w:rsidRPr="00B438D7" w:rsidRDefault="00EA4444">
      <w:pPr>
        <w:spacing w:line="280" w:lineRule="exact"/>
        <w:jc w:val="center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b/>
          <w:bCs/>
          <w:lang w:val="bg-BG"/>
        </w:rPr>
        <w:t>К  О  Н  С  П  Е  К  Т</w:t>
      </w:r>
    </w:p>
    <w:p w:rsidR="00EA4444" w:rsidRPr="00B438D7" w:rsidRDefault="00EA4444">
      <w:pPr>
        <w:spacing w:line="280" w:lineRule="exact"/>
        <w:jc w:val="center"/>
        <w:rPr>
          <w:rFonts w:ascii="Times New Roman" w:hAnsi="Times New Roman"/>
          <w:b/>
          <w:bCs/>
          <w:lang w:val="bg-BG"/>
        </w:rPr>
      </w:pPr>
      <w:r w:rsidRPr="00B438D7">
        <w:rPr>
          <w:rFonts w:ascii="Times New Roman" w:hAnsi="Times New Roman"/>
          <w:lang w:val="bg-BG"/>
        </w:rPr>
        <w:t xml:space="preserve"> </w:t>
      </w:r>
      <w:r w:rsidRPr="00B438D7">
        <w:rPr>
          <w:rFonts w:ascii="Times New Roman" w:hAnsi="Times New Roman"/>
          <w:b/>
          <w:bCs/>
          <w:lang w:val="bg-BG"/>
        </w:rPr>
        <w:t>ЗА ДЪРЖАВЕН ИЗПИТ ПО ВЪТРЕШНИ БОЛЕСТИ</w:t>
      </w:r>
    </w:p>
    <w:p w:rsidR="00EA4444" w:rsidRPr="00B438D7" w:rsidRDefault="00EA4444">
      <w:pPr>
        <w:spacing w:line="280" w:lineRule="exact"/>
        <w:jc w:val="center"/>
        <w:rPr>
          <w:rFonts w:ascii="Times New Roman" w:hAnsi="Times New Roman"/>
          <w:lang w:val="bg-BG"/>
        </w:rPr>
      </w:pPr>
    </w:p>
    <w:p w:rsidR="00B54EE9" w:rsidRPr="003E742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  <w:lang w:val="bg-BG"/>
        </w:rPr>
      </w:pPr>
      <w:r w:rsidRPr="003E7427">
        <w:rPr>
          <w:rFonts w:ascii="Times New Roman" w:hAnsi="Times New Roman"/>
          <w:szCs w:val="28"/>
          <w:lang w:val="bg-BG"/>
        </w:rPr>
        <w:t>Хронична обструктивна белодробна болест – етиоло</w:t>
      </w:r>
      <w:bookmarkStart w:id="0" w:name="_GoBack"/>
      <w:bookmarkEnd w:id="0"/>
      <w:r w:rsidRPr="003E7427">
        <w:rPr>
          <w:rFonts w:ascii="Times New Roman" w:hAnsi="Times New Roman"/>
          <w:szCs w:val="28"/>
          <w:lang w:val="bg-BG"/>
        </w:rPr>
        <w:t>гия, патогенеза, клинична картина.</w:t>
      </w:r>
    </w:p>
    <w:p w:rsidR="00B54EE9" w:rsidRPr="003E742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  <w:lang w:val="bg-BG"/>
        </w:rPr>
      </w:pPr>
      <w:r w:rsidRPr="003E7427">
        <w:rPr>
          <w:rFonts w:ascii="Times New Roman" w:hAnsi="Times New Roman"/>
          <w:szCs w:val="28"/>
          <w:lang w:val="bg-BG"/>
        </w:rPr>
        <w:t>Хронична обструктивна белодробна болест – диагноза и усложнения.</w:t>
      </w:r>
    </w:p>
    <w:p w:rsidR="00B54EE9" w:rsidRPr="003E742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  <w:lang w:val="bg-BG"/>
        </w:rPr>
      </w:pPr>
      <w:r w:rsidRPr="003E7427">
        <w:rPr>
          <w:rFonts w:ascii="Times New Roman" w:hAnsi="Times New Roman"/>
          <w:szCs w:val="28"/>
          <w:lang w:val="bg-BG"/>
        </w:rPr>
        <w:t>Хронична обструктивна белодробна болест – лечение.</w:t>
      </w:r>
    </w:p>
    <w:p w:rsidR="00B54EE9" w:rsidRPr="003E742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  <w:lang w:val="bg-BG"/>
        </w:rPr>
      </w:pPr>
      <w:r w:rsidRPr="003E7427">
        <w:rPr>
          <w:rFonts w:ascii="Times New Roman" w:hAnsi="Times New Roman"/>
          <w:szCs w:val="28"/>
          <w:lang w:val="bg-BG"/>
        </w:rPr>
        <w:t>Хронична дихателна недостатъчност – етиология, патогенеза, клинични синдроми .</w:t>
      </w:r>
    </w:p>
    <w:p w:rsidR="00B54EE9" w:rsidRPr="003E742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  <w:lang w:val="bg-BG"/>
        </w:rPr>
      </w:pPr>
      <w:r w:rsidRPr="003E7427">
        <w:rPr>
          <w:rFonts w:ascii="Times New Roman" w:hAnsi="Times New Roman"/>
          <w:szCs w:val="28"/>
          <w:lang w:val="bg-BG"/>
        </w:rPr>
        <w:t>Хронична дихателна</w:t>
      </w:r>
      <w:r w:rsidR="00D74123" w:rsidRPr="003E7427">
        <w:rPr>
          <w:rFonts w:ascii="Times New Roman" w:hAnsi="Times New Roman"/>
          <w:szCs w:val="28"/>
          <w:lang w:val="bg-BG"/>
        </w:rPr>
        <w:t xml:space="preserve"> недостатъчност – усложнения и </w:t>
      </w:r>
      <w:r w:rsidRPr="003E7427">
        <w:rPr>
          <w:rFonts w:ascii="Times New Roman" w:hAnsi="Times New Roman"/>
          <w:szCs w:val="28"/>
          <w:lang w:val="bg-BG"/>
        </w:rPr>
        <w:t>лечение.</w:t>
      </w:r>
    </w:p>
    <w:p w:rsidR="00B54EE9" w:rsidRPr="003E742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  <w:lang w:val="bg-BG"/>
        </w:rPr>
      </w:pPr>
      <w:r w:rsidRPr="003E7427">
        <w:rPr>
          <w:rFonts w:ascii="Times New Roman" w:hAnsi="Times New Roman"/>
          <w:szCs w:val="28"/>
          <w:lang w:val="bg-BG"/>
        </w:rPr>
        <w:t>Бронхиална астма – етиология,  патогенеза, клинично протичане.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Бронхиална астма – усложнения, диагноза.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Бронхиална астма – стъпаловидно лечение в извънпристъпния период.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</w:tabs>
        <w:spacing w:line="240" w:lineRule="auto"/>
        <w:ind w:left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астматичен пристъп – тежест, клинично протичане, усложнения.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астматичен пристъп –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Белодробен карцином – класификация, диагноза.</w:t>
      </w:r>
    </w:p>
    <w:p w:rsidR="00B54EE9" w:rsidRPr="00B438D7" w:rsidRDefault="00D74123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Белодробен карцином – стадиране</w:t>
      </w:r>
      <w:r w:rsidR="00B54EE9" w:rsidRPr="00B438D7">
        <w:rPr>
          <w:rFonts w:ascii="Times New Roman" w:hAnsi="Times New Roman"/>
          <w:szCs w:val="28"/>
        </w:rPr>
        <w:t>, усложнения.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Белодробен карцином –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Придобита в обществото пневмония – етиология, патогенеза, клинична картина.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Придобита в обществото пневмония – тежест и усложнения.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Придобита в обществото пневмония –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Нозокомиална пневмония – етиология, патогенеза, клинична картина.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Нозокомиална пневмония – усложнени</w:t>
      </w:r>
      <w:r w:rsidR="00D74123">
        <w:rPr>
          <w:rFonts w:ascii="Times New Roman" w:hAnsi="Times New Roman"/>
          <w:szCs w:val="28"/>
          <w:lang w:val="bg-BG"/>
        </w:rPr>
        <w:t>я</w:t>
      </w:r>
      <w:r w:rsidRPr="00B438D7">
        <w:rPr>
          <w:rFonts w:ascii="Times New Roman" w:hAnsi="Times New Roman"/>
          <w:szCs w:val="28"/>
        </w:rPr>
        <w:t xml:space="preserve">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Атипични пневмонии – етиология, клинична картина.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Атипични пневмонии – лечение.</w:t>
      </w:r>
    </w:p>
    <w:p w:rsidR="00B54EE9" w:rsidRPr="00B438D7" w:rsidRDefault="00D74123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Белодробен абсцес – етиология</w:t>
      </w:r>
      <w:r w:rsidR="00B54EE9" w:rsidRPr="00B438D7">
        <w:rPr>
          <w:rFonts w:ascii="Times New Roman" w:hAnsi="Times New Roman"/>
          <w:szCs w:val="28"/>
        </w:rPr>
        <w:t>, диагноза.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Белодробен абсцес – клинична картина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Некротизираща  пневмония – етиология, клинична картина.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Некротизираща  пневмония – диагноза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Белодробна тромбо</w:t>
      </w:r>
      <w:r w:rsidR="00D74123">
        <w:rPr>
          <w:rFonts w:ascii="Times New Roman" w:hAnsi="Times New Roman"/>
          <w:szCs w:val="28"/>
          <w:lang w:val="bg-BG"/>
        </w:rPr>
        <w:t>е</w:t>
      </w:r>
      <w:r w:rsidRPr="00B438D7">
        <w:rPr>
          <w:rFonts w:ascii="Times New Roman" w:hAnsi="Times New Roman"/>
          <w:szCs w:val="28"/>
        </w:rPr>
        <w:t>мболия – рискови фактори,диагноза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Белодробна тромбо</w:t>
      </w:r>
      <w:r w:rsidR="00D74123">
        <w:rPr>
          <w:rFonts w:ascii="Times New Roman" w:hAnsi="Times New Roman"/>
          <w:szCs w:val="28"/>
          <w:lang w:val="bg-BG"/>
        </w:rPr>
        <w:t>е</w:t>
      </w:r>
      <w:r w:rsidRPr="00B438D7">
        <w:rPr>
          <w:rFonts w:ascii="Times New Roman" w:hAnsi="Times New Roman"/>
          <w:szCs w:val="28"/>
        </w:rPr>
        <w:t>мболия – клинична картина, профилактика.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Белодробна тромбо</w:t>
      </w:r>
      <w:r w:rsidR="00D74123">
        <w:rPr>
          <w:rFonts w:ascii="Times New Roman" w:hAnsi="Times New Roman"/>
          <w:szCs w:val="28"/>
          <w:lang w:val="bg-BG"/>
        </w:rPr>
        <w:t>е</w:t>
      </w:r>
      <w:r w:rsidRPr="00B438D7">
        <w:rPr>
          <w:rFonts w:ascii="Times New Roman" w:hAnsi="Times New Roman"/>
          <w:szCs w:val="28"/>
        </w:rPr>
        <w:t>мболия –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Плеврални изливи – етиология, трансудати,</w:t>
      </w:r>
      <w:r w:rsidR="00D74123">
        <w:rPr>
          <w:rFonts w:ascii="Times New Roman" w:hAnsi="Times New Roman"/>
          <w:szCs w:val="28"/>
          <w:lang w:val="bg-BG"/>
        </w:rPr>
        <w:t xml:space="preserve"> </w:t>
      </w:r>
      <w:r w:rsidRPr="00B438D7">
        <w:rPr>
          <w:rFonts w:ascii="Times New Roman" w:hAnsi="Times New Roman"/>
          <w:szCs w:val="28"/>
        </w:rPr>
        <w:t>ексудати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Плеврални изливи – диагноза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Белодробна туберкулоза – етиология, диагноза.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Белодробна туберкулоза – първична и вторична.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Латентна белодробна туберкулоза.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Белодробна туберкулоза –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респираторен дистрес синдром – етиология, клинична картина.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lastRenderedPageBreak/>
        <w:t>Остър респираторен дистрес синдром – диагноза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Обструктивна сънна апнея – диагноза,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Синдром на хиповентилация при обезитет – диагноза,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-2127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Идиопатична белодробна фиброза – диагноза,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0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Саркоидоза</w:t>
      </w:r>
      <w:r w:rsidRPr="00B438D7">
        <w:rPr>
          <w:rFonts w:ascii="Times New Roman" w:hAnsi="Times New Roman"/>
          <w:szCs w:val="28"/>
          <w:lang w:val="bg-BG"/>
        </w:rPr>
        <w:t xml:space="preserve"> –</w:t>
      </w:r>
      <w:r w:rsidRPr="00B438D7">
        <w:rPr>
          <w:rFonts w:ascii="Times New Roman" w:hAnsi="Times New Roman"/>
          <w:szCs w:val="28"/>
        </w:rPr>
        <w:t xml:space="preserve"> диагноза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  <w:tab w:val="num" w:pos="0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Физиология и патофизиология на сърдечно-съдовата система.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Електрофизиология на акционния потенциал.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Ритъмни нарушения на сърдечната дейност – електрогенеза, фармакологична терапия и методи на изследване.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Надкамерни тахиаритмии – класификация, клиника, диагноза, лечение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Камерни тахиаритмии – класификация, клиника, диагноза,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Проводни нарушения на сърцето. Показания за трайна електрокардиостимулация.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Сърдечна недостатъчност – класификация, етиология, патогенеза и патофизиология, клинична картина, диагноза, еволюция и лечение.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Кардиогенен шок.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Синкоп</w:t>
      </w:r>
      <w:r w:rsidRPr="00B438D7">
        <w:rPr>
          <w:rFonts w:ascii="Times New Roman" w:hAnsi="Times New Roman"/>
          <w:szCs w:val="28"/>
          <w:lang w:val="bg-BG"/>
        </w:rPr>
        <w:t>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Внезапна сърдечна смърт и сърдечен арест</w:t>
      </w:r>
      <w:r w:rsidRPr="00B438D7">
        <w:rPr>
          <w:rFonts w:ascii="Times New Roman" w:hAnsi="Times New Roman"/>
          <w:szCs w:val="28"/>
          <w:lang w:val="bg-BG"/>
        </w:rPr>
        <w:t>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Артериална хипертония – класификация, етиология, патогенеза.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Артериална хипертония – клинична картина, диагноза, диференциална диагноза.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Артериална хипертония – лечение</w:t>
      </w:r>
      <w:r w:rsidRPr="00B438D7">
        <w:rPr>
          <w:rFonts w:ascii="Times New Roman" w:hAnsi="Times New Roman"/>
          <w:szCs w:val="28"/>
          <w:lang w:val="bg-BG"/>
        </w:rPr>
        <w:t>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Атеросклероза – рискови фактори, патогенеза, клинични форми, профилактика.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коронарен синдром – класификация, етиология, патогенеза и патофизиология.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коронарен синдром – клинична картина, диагноз</w:t>
      </w:r>
      <w:r w:rsidRPr="00B438D7">
        <w:rPr>
          <w:rFonts w:ascii="Times New Roman" w:hAnsi="Times New Roman"/>
          <w:szCs w:val="28"/>
          <w:lang w:val="bg-BG"/>
        </w:rPr>
        <w:t>а, диференциална диагноза</w:t>
      </w:r>
      <w:r w:rsidRPr="00B438D7">
        <w:rPr>
          <w:rFonts w:ascii="Times New Roman" w:hAnsi="Times New Roman"/>
          <w:szCs w:val="28"/>
        </w:rPr>
        <w:t>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коронарен синдром без елевация на СТ сегмента.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Остър коронарен синдром с елевация на СТ сегмента.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Ревматизъм. Ревмокардит.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Стеноза на митрална клапа.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Инсуфициенция на митрална клапа.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Аортна стеноза.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Аортна регургитация.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Трикуспидална стеноза и регургитация.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Миокардити.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Кардиомиопатии.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Перикардити.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Инфекциозен ендокардит.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lastRenderedPageBreak/>
        <w:t>Белодробен тромбоемболизъм.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Хронично белодробно сърце.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Вродени пороци при възрастни.</w:t>
      </w:r>
    </w:p>
    <w:p w:rsidR="00B54EE9" w:rsidRPr="00B438D7" w:rsidRDefault="00B54EE9" w:rsidP="0015278C">
      <w:pPr>
        <w:numPr>
          <w:ilvl w:val="0"/>
          <w:numId w:val="4"/>
        </w:numPr>
        <w:tabs>
          <w:tab w:val="clear" w:pos="786"/>
          <w:tab w:val="num" w:pos="-3969"/>
          <w:tab w:val="num" w:pos="-2835"/>
        </w:tabs>
        <w:spacing w:line="240" w:lineRule="auto"/>
        <w:ind w:left="426" w:hanging="426"/>
        <w:rPr>
          <w:rFonts w:ascii="Times New Roman" w:hAnsi="Times New Roman"/>
          <w:szCs w:val="28"/>
        </w:rPr>
      </w:pPr>
      <w:r w:rsidRPr="00B438D7">
        <w:rPr>
          <w:rFonts w:ascii="Times New Roman" w:hAnsi="Times New Roman"/>
          <w:szCs w:val="28"/>
        </w:rPr>
        <w:t>Дисекираща аневризма на аортата.</w:t>
      </w:r>
      <w:r w:rsidRPr="00B438D7">
        <w:rPr>
          <w:rFonts w:ascii="Times New Roman" w:hAnsi="Times New Roman"/>
          <w:b/>
          <w:szCs w:val="28"/>
          <w:lang w:val="bg-BG"/>
        </w:rPr>
        <w:t xml:space="preserve"> 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Ахалазия и рефлукс</w:t>
      </w:r>
      <w:r w:rsidRPr="00B438D7">
        <w:rPr>
          <w:rFonts w:ascii="Times New Roman" w:hAnsi="Times New Roman"/>
          <w:lang w:val="en-US"/>
        </w:rPr>
        <w:t>-</w:t>
      </w:r>
      <w:r w:rsidRPr="00B438D7">
        <w:rPr>
          <w:rFonts w:ascii="Times New Roman" w:hAnsi="Times New Roman"/>
          <w:lang w:val="bg-BG"/>
        </w:rPr>
        <w:t>езофагит.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Хронични гастрити.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Язвена болест – етиология, патогенеза, клинична картина и диагноза.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Язвена болест – патогенеза и лечение.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Рак на стомаха.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Улцерозен колит.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Рак на дебелите черва.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Хронични следвирусни хепатити.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Хронични автоимунни хепатити.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Чернодробни цирози – етиология, класификация, клинична картина и лечение.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Патогенеза и лечение на асцитите.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Портални хипертонии – видове, усложнения и лечение.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Чернодробни коми – остри и хронични.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Първична билиарна цироза.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 xml:space="preserve">Метаболитни цирози </w:t>
      </w:r>
      <w:r w:rsidR="00973A06">
        <w:rPr>
          <w:rFonts w:ascii="Times New Roman" w:hAnsi="Times New Roman"/>
          <w:lang w:val="bg-BG"/>
        </w:rPr>
        <w:t>– хемохроматоза и хепатолентику</w:t>
      </w:r>
      <w:r w:rsidRPr="00B438D7">
        <w:rPr>
          <w:rFonts w:ascii="Times New Roman" w:hAnsi="Times New Roman"/>
          <w:lang w:val="bg-BG"/>
        </w:rPr>
        <w:t>ларна дегенерация.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Първичен рак на черния дроб.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Холелитиаза.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Остри панкреатити.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Хронични панкреатити.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Рак на панкреаса.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Диференциална диагноза на жълтениците.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Желязодефицитна анемия.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Пернициозна анемия.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Сфероцитна анемия. Ензимопатии.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Таласемии. Хемоглобинози.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 xml:space="preserve">Автоимунни хемолитични анемии. 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Миелодиспластични синдроми.</w:t>
      </w:r>
    </w:p>
    <w:p w:rsidR="00EA4444" w:rsidRPr="00B438D7" w:rsidRDefault="00EA4444" w:rsidP="0015278C">
      <w:pPr>
        <w:numPr>
          <w:ilvl w:val="0"/>
          <w:numId w:val="4"/>
        </w:numPr>
        <w:tabs>
          <w:tab w:val="clear" w:pos="786"/>
          <w:tab w:val="num" w:pos="-3969"/>
          <w:tab w:val="num" w:pos="-3261"/>
          <w:tab w:val="num" w:pos="-2835"/>
        </w:tabs>
        <w:spacing w:line="280" w:lineRule="exact"/>
        <w:ind w:left="426" w:hanging="426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Остра левкоза.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Хронична миелолевкоза.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Идиопатична миелофи</w:t>
      </w:r>
      <w:r w:rsidR="00973A06">
        <w:rPr>
          <w:rFonts w:ascii="Times New Roman" w:hAnsi="Times New Roman"/>
          <w:lang w:val="bg-BG"/>
        </w:rPr>
        <w:t>броза, полицитемия вера, есенци</w:t>
      </w:r>
      <w:r w:rsidRPr="00B438D7">
        <w:rPr>
          <w:rFonts w:ascii="Times New Roman" w:hAnsi="Times New Roman"/>
          <w:lang w:val="bg-BG"/>
        </w:rPr>
        <w:t>ална тромбоцитемия.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Хронична лимфолевкоза.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 xml:space="preserve">Миеломна болест.                  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Болест на Ходжкин.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Неходжкинови лимфоми.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Хемофилии.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Имунна тромбоцитопения.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Капиляротоксикоза.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ru-RU"/>
        </w:rPr>
        <w:t>С</w:t>
      </w:r>
      <w:r w:rsidRPr="00B438D7">
        <w:rPr>
          <w:rFonts w:ascii="Times New Roman" w:hAnsi="Times New Roman"/>
          <w:lang w:val="bg-BG"/>
        </w:rPr>
        <w:t>индром на дисеминирана интравазална коагулация.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Методи за диагностика на бъбречните заболявания.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lastRenderedPageBreak/>
        <w:t>Остър гломерулонефрит.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Хронични гломерулонефрити – етиология, патогенеза, класификация.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Хронични гломерулонефрити – клинична картина, диагноза, лечение.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Остър пиелонефрит.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Хроничен пиелонефрит.</w:t>
      </w:r>
    </w:p>
    <w:p w:rsidR="00AE7A98" w:rsidRPr="00B438D7" w:rsidRDefault="00AE7A98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Д</w:t>
      </w:r>
      <w:r w:rsidR="00EA4444" w:rsidRPr="00B438D7">
        <w:rPr>
          <w:rFonts w:ascii="Times New Roman" w:hAnsi="Times New Roman"/>
          <w:lang w:val="bg-BG"/>
        </w:rPr>
        <w:t>иабетна</w:t>
      </w:r>
      <w:r w:rsidRPr="00B438D7">
        <w:rPr>
          <w:rFonts w:ascii="Times New Roman" w:hAnsi="Times New Roman"/>
          <w:lang w:val="bg-BG"/>
        </w:rPr>
        <w:t xml:space="preserve">  нефропатия.</w:t>
      </w:r>
    </w:p>
    <w:p w:rsidR="00EA4444" w:rsidRPr="00B438D7" w:rsidRDefault="00AE7A98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Л</w:t>
      </w:r>
      <w:r w:rsidR="00EA4444" w:rsidRPr="00B438D7">
        <w:rPr>
          <w:rFonts w:ascii="Times New Roman" w:hAnsi="Times New Roman"/>
          <w:lang w:val="bg-BG"/>
        </w:rPr>
        <w:t>упусна</w:t>
      </w:r>
      <w:r w:rsidRPr="00B438D7">
        <w:rPr>
          <w:rFonts w:ascii="Times New Roman" w:hAnsi="Times New Roman"/>
          <w:lang w:val="bg-BG"/>
        </w:rPr>
        <w:t xml:space="preserve"> нефропатия</w:t>
      </w:r>
      <w:r w:rsidR="00EA4444" w:rsidRPr="00B438D7">
        <w:rPr>
          <w:rFonts w:ascii="Times New Roman" w:hAnsi="Times New Roman"/>
          <w:lang w:val="bg-BG"/>
        </w:rPr>
        <w:t>.</w:t>
      </w:r>
    </w:p>
    <w:p w:rsidR="00AE7A98" w:rsidRPr="00B438D7" w:rsidRDefault="00AE7A98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А</w:t>
      </w:r>
      <w:r w:rsidR="00EA4444" w:rsidRPr="00B438D7">
        <w:rPr>
          <w:rFonts w:ascii="Times New Roman" w:hAnsi="Times New Roman"/>
          <w:lang w:val="bg-BG"/>
        </w:rPr>
        <w:t>милоидна</w:t>
      </w:r>
      <w:r w:rsidRPr="00B438D7">
        <w:rPr>
          <w:rFonts w:ascii="Times New Roman" w:hAnsi="Times New Roman"/>
          <w:lang w:val="bg-BG"/>
        </w:rPr>
        <w:t xml:space="preserve"> нефропатия</w:t>
      </w:r>
      <w:r w:rsidR="00973A06">
        <w:rPr>
          <w:rFonts w:ascii="Times New Roman" w:hAnsi="Times New Roman"/>
          <w:lang w:val="bg-BG"/>
        </w:rPr>
        <w:t>.</w:t>
      </w:r>
      <w:r w:rsidR="00EA4444" w:rsidRPr="00B438D7">
        <w:rPr>
          <w:rFonts w:ascii="Times New Roman" w:hAnsi="Times New Roman"/>
          <w:lang w:val="bg-BG"/>
        </w:rPr>
        <w:t xml:space="preserve"> </w:t>
      </w:r>
    </w:p>
    <w:p w:rsidR="00EA4444" w:rsidRPr="00B438D7" w:rsidRDefault="00AE7A98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П</w:t>
      </w:r>
      <w:r w:rsidR="00EA4444" w:rsidRPr="00B438D7">
        <w:rPr>
          <w:rFonts w:ascii="Times New Roman" w:hAnsi="Times New Roman"/>
          <w:lang w:val="bg-BG"/>
        </w:rPr>
        <w:t>одагрозна</w:t>
      </w:r>
      <w:r w:rsidRPr="00B438D7">
        <w:rPr>
          <w:rFonts w:ascii="Times New Roman" w:hAnsi="Times New Roman"/>
          <w:lang w:val="bg-BG"/>
        </w:rPr>
        <w:t xml:space="preserve"> нефропатия.</w:t>
      </w:r>
    </w:p>
    <w:p w:rsidR="00AE7A98" w:rsidRPr="00B438D7" w:rsidRDefault="00AE7A98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Миеломна нефропатия.</w:t>
      </w:r>
    </w:p>
    <w:p w:rsidR="00EA4444" w:rsidRPr="00B438D7" w:rsidRDefault="00AE7A98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Н</w:t>
      </w:r>
      <w:r w:rsidR="00EA4444" w:rsidRPr="00B438D7">
        <w:rPr>
          <w:rFonts w:ascii="Times New Roman" w:hAnsi="Times New Roman"/>
          <w:lang w:val="bg-BG"/>
        </w:rPr>
        <w:t xml:space="preserve">ефропатия на </w:t>
      </w:r>
      <w:r w:rsidR="009A0AE2" w:rsidRPr="00B438D7">
        <w:rPr>
          <w:rFonts w:ascii="Times New Roman" w:hAnsi="Times New Roman"/>
          <w:lang w:val="bg-BG"/>
        </w:rPr>
        <w:t>бременността</w:t>
      </w:r>
      <w:r w:rsidR="00EA4444" w:rsidRPr="00B438D7">
        <w:rPr>
          <w:rFonts w:ascii="Times New Roman" w:hAnsi="Times New Roman"/>
          <w:lang w:val="bg-BG"/>
        </w:rPr>
        <w:t>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Бъбречна поликистоз</w:t>
      </w:r>
      <w:r w:rsidRPr="00B438D7">
        <w:rPr>
          <w:rFonts w:ascii="Times New Roman" w:hAnsi="Times New Roman"/>
          <w:lang w:val="en-US"/>
        </w:rPr>
        <w:t>на болест</w:t>
      </w:r>
      <w:r w:rsidRPr="00B438D7">
        <w:rPr>
          <w:rFonts w:ascii="Times New Roman" w:hAnsi="Times New Roman"/>
          <w:lang w:val="bg-BG"/>
        </w:rPr>
        <w:t>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Бъбречно-каменна болест.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Остра бъбречна недостатъчност.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Хронична бъбречна недостатъчност – етиология, патогенеза, класификация, клинична картина.</w:t>
      </w:r>
    </w:p>
    <w:p w:rsidR="00EA4444" w:rsidRPr="00B438D7" w:rsidRDefault="00EA4444" w:rsidP="00B438D7">
      <w:pPr>
        <w:numPr>
          <w:ilvl w:val="0"/>
          <w:numId w:val="4"/>
        </w:numPr>
        <w:tabs>
          <w:tab w:val="num" w:pos="-3969"/>
        </w:tabs>
        <w:spacing w:line="280" w:lineRule="exact"/>
        <w:ind w:left="709" w:hanging="643"/>
        <w:rPr>
          <w:rFonts w:ascii="Times New Roman" w:hAnsi="Times New Roman"/>
          <w:lang w:val="bg-BG"/>
        </w:rPr>
      </w:pPr>
      <w:r w:rsidRPr="00B438D7">
        <w:rPr>
          <w:rFonts w:ascii="Times New Roman" w:hAnsi="Times New Roman"/>
          <w:lang w:val="bg-BG"/>
        </w:rPr>
        <w:t>Хронична бъбречна недостатъчност – диагноза, консервативно и диализно лечение.</w:t>
      </w:r>
    </w:p>
    <w:p w:rsidR="00B54EE9" w:rsidRPr="00B438D7" w:rsidRDefault="00B54EE9" w:rsidP="00B438D7">
      <w:pPr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Cs w:val="28"/>
          <w:lang w:val="ru-RU"/>
        </w:rPr>
      </w:pPr>
      <w:r w:rsidRPr="00B438D7">
        <w:rPr>
          <w:rFonts w:ascii="Times New Roman" w:hAnsi="Times New Roman"/>
          <w:szCs w:val="28"/>
          <w:lang w:val="ru-RU"/>
        </w:rPr>
        <w:t>Акромегалия</w:t>
      </w:r>
      <w:r w:rsidRPr="00B438D7">
        <w:rPr>
          <w:rFonts w:ascii="Times New Roman" w:hAnsi="Times New Roman"/>
          <w:szCs w:val="28"/>
        </w:rPr>
        <w:t>.</w:t>
      </w:r>
    </w:p>
    <w:p w:rsidR="00B54EE9" w:rsidRPr="00973A06" w:rsidRDefault="00B54EE9" w:rsidP="00973A06">
      <w:pPr>
        <w:pStyle w:val="NoSpacing"/>
        <w:numPr>
          <w:ilvl w:val="0"/>
          <w:numId w:val="4"/>
        </w:numPr>
        <w:tabs>
          <w:tab w:val="clear" w:pos="786"/>
          <w:tab w:val="num" w:pos="709"/>
        </w:tabs>
        <w:ind w:hanging="786"/>
        <w:rPr>
          <w:rFonts w:ascii="Times New Roman" w:hAnsi="Times New Roman"/>
          <w:lang w:val="ru-RU"/>
        </w:rPr>
      </w:pPr>
      <w:r w:rsidRPr="00973A06">
        <w:rPr>
          <w:rFonts w:ascii="Times New Roman" w:hAnsi="Times New Roman"/>
          <w:lang w:val="ru-RU"/>
        </w:rPr>
        <w:t>Хипопитуитаризъм</w:t>
      </w:r>
      <w:r w:rsidRPr="00973A06">
        <w:rPr>
          <w:rFonts w:ascii="Times New Roman" w:hAnsi="Times New Roman"/>
        </w:rPr>
        <w:t>.</w:t>
      </w:r>
    </w:p>
    <w:p w:rsidR="00B54EE9" w:rsidRPr="00973A06" w:rsidRDefault="00B54EE9" w:rsidP="00973A06">
      <w:pPr>
        <w:pStyle w:val="NoSpacing"/>
        <w:numPr>
          <w:ilvl w:val="0"/>
          <w:numId w:val="4"/>
        </w:numPr>
        <w:tabs>
          <w:tab w:val="clear" w:pos="786"/>
          <w:tab w:val="num" w:pos="709"/>
        </w:tabs>
        <w:ind w:hanging="786"/>
        <w:rPr>
          <w:rFonts w:ascii="Times New Roman" w:hAnsi="Times New Roman"/>
          <w:lang w:val="ru-RU"/>
        </w:rPr>
      </w:pPr>
      <w:r w:rsidRPr="00973A06">
        <w:rPr>
          <w:rFonts w:ascii="Times New Roman" w:hAnsi="Times New Roman"/>
          <w:lang w:val="ru-RU"/>
        </w:rPr>
        <w:t>Безвкусен диабет.</w:t>
      </w:r>
    </w:p>
    <w:p w:rsidR="00B54EE9" w:rsidRPr="00973A06" w:rsidRDefault="00B54EE9" w:rsidP="00973A06">
      <w:pPr>
        <w:pStyle w:val="NoSpacing"/>
        <w:numPr>
          <w:ilvl w:val="0"/>
          <w:numId w:val="4"/>
        </w:numPr>
        <w:tabs>
          <w:tab w:val="clear" w:pos="786"/>
          <w:tab w:val="num" w:pos="709"/>
        </w:tabs>
        <w:ind w:hanging="786"/>
        <w:rPr>
          <w:rFonts w:ascii="Times New Roman" w:hAnsi="Times New Roman"/>
          <w:lang w:val="ru-RU"/>
        </w:rPr>
      </w:pPr>
      <w:r w:rsidRPr="00973A06">
        <w:rPr>
          <w:rFonts w:ascii="Times New Roman" w:hAnsi="Times New Roman"/>
          <w:lang w:val="ru-RU"/>
        </w:rPr>
        <w:t>Тумори на хипофизата</w:t>
      </w:r>
      <w:r w:rsidRPr="00973A06">
        <w:rPr>
          <w:rFonts w:ascii="Times New Roman" w:hAnsi="Times New Roman"/>
        </w:rPr>
        <w:t xml:space="preserve">. </w:t>
      </w:r>
      <w:r w:rsidRPr="00973A06">
        <w:rPr>
          <w:rFonts w:ascii="Times New Roman" w:hAnsi="Times New Roman"/>
          <w:lang w:val="ru-RU"/>
        </w:rPr>
        <w:t>Пролактиноми</w:t>
      </w:r>
      <w:r w:rsidRPr="00973A06">
        <w:rPr>
          <w:rFonts w:ascii="Times New Roman" w:hAnsi="Times New Roman"/>
        </w:rPr>
        <w:t>.</w:t>
      </w:r>
    </w:p>
    <w:p w:rsidR="00B54EE9" w:rsidRPr="00973A06" w:rsidRDefault="00B54EE9" w:rsidP="00973A06">
      <w:pPr>
        <w:pStyle w:val="NoSpacing"/>
        <w:numPr>
          <w:ilvl w:val="0"/>
          <w:numId w:val="4"/>
        </w:numPr>
        <w:tabs>
          <w:tab w:val="clear" w:pos="786"/>
          <w:tab w:val="num" w:pos="709"/>
        </w:tabs>
        <w:ind w:hanging="786"/>
        <w:rPr>
          <w:rFonts w:ascii="Times New Roman" w:hAnsi="Times New Roman"/>
          <w:lang w:val="ru-RU"/>
        </w:rPr>
      </w:pPr>
      <w:r w:rsidRPr="00973A06">
        <w:rPr>
          <w:rFonts w:ascii="Times New Roman" w:hAnsi="Times New Roman"/>
          <w:lang w:val="ru-RU"/>
        </w:rPr>
        <w:t>Хипотиреоидизъм. Ендемична гуша.</w:t>
      </w:r>
    </w:p>
    <w:p w:rsidR="00B54EE9" w:rsidRPr="00B438D7" w:rsidRDefault="00B54EE9" w:rsidP="00B438D7">
      <w:pPr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Cs w:val="28"/>
          <w:lang w:val="ru-RU"/>
        </w:rPr>
      </w:pPr>
      <w:r w:rsidRPr="00B438D7">
        <w:rPr>
          <w:rFonts w:ascii="Times New Roman" w:hAnsi="Times New Roman"/>
          <w:szCs w:val="28"/>
          <w:lang w:val="ru-RU"/>
        </w:rPr>
        <w:t>Хипотиреоидизъм. Спорадична гуша</w:t>
      </w:r>
    </w:p>
    <w:p w:rsidR="00B54EE9" w:rsidRPr="00B438D7" w:rsidRDefault="00B54EE9" w:rsidP="00C01BB1">
      <w:pPr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Cs w:val="28"/>
          <w:lang w:val="ru-RU"/>
        </w:rPr>
      </w:pPr>
      <w:r w:rsidRPr="00B438D7">
        <w:rPr>
          <w:rFonts w:ascii="Times New Roman" w:hAnsi="Times New Roman"/>
          <w:szCs w:val="28"/>
          <w:lang w:val="ru-RU"/>
        </w:rPr>
        <w:t>Тиреотоксикоза.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Възпалителни заболявания на щитовидната жлеза</w:t>
      </w:r>
      <w:r w:rsidRPr="003E7427">
        <w:rPr>
          <w:rFonts w:ascii="Times New Roman" w:hAnsi="Times New Roman"/>
          <w:lang w:val="ru-RU"/>
        </w:rPr>
        <w:t xml:space="preserve"> – тиреоидити.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</w:rPr>
        <w:t>Хиперпаратиреоидизъм</w:t>
      </w:r>
      <w:r w:rsidRPr="00C01BB1">
        <w:rPr>
          <w:rFonts w:ascii="Times New Roman" w:hAnsi="Times New Roman"/>
          <w:lang w:val="bg-BG"/>
        </w:rPr>
        <w:t>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Хипопаратиреоидизъм.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Хипофункция на надбъбречната жлеза.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Хиперглюкокортицизъм.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Феохромоцитом.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Захарен диабет – етиология, патогенеза, клинична картина, диагноза.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Захарен диабет – лечение.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Захарен диабет</w:t>
      </w:r>
      <w:r w:rsidRPr="00C01BB1">
        <w:rPr>
          <w:rFonts w:ascii="Times New Roman" w:hAnsi="Times New Roman"/>
        </w:rPr>
        <w:t xml:space="preserve"> –</w:t>
      </w:r>
      <w:r w:rsidRPr="00C01BB1">
        <w:rPr>
          <w:rFonts w:ascii="Times New Roman" w:hAnsi="Times New Roman"/>
          <w:lang w:val="ru-RU"/>
        </w:rPr>
        <w:t xml:space="preserve"> </w:t>
      </w:r>
      <w:r w:rsidRPr="00C01BB1">
        <w:rPr>
          <w:rFonts w:ascii="Times New Roman" w:hAnsi="Times New Roman"/>
          <w:lang w:val="bg-BG"/>
        </w:rPr>
        <w:t>х</w:t>
      </w:r>
      <w:r w:rsidRPr="00C01BB1">
        <w:rPr>
          <w:rFonts w:ascii="Times New Roman" w:hAnsi="Times New Roman"/>
          <w:lang w:val="ru-RU"/>
        </w:rPr>
        <w:t>ронични усложнения.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Захарен диабет – остри усложнения.</w:t>
      </w:r>
    </w:p>
    <w:p w:rsidR="00B54EE9" w:rsidRPr="00C01BB1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C01BB1">
        <w:rPr>
          <w:rFonts w:ascii="Times New Roman" w:hAnsi="Times New Roman"/>
          <w:lang w:val="ru-RU"/>
        </w:rPr>
        <w:t>Затлъстяване.</w:t>
      </w:r>
    </w:p>
    <w:p w:rsidR="00B54EE9" w:rsidRPr="003E7427" w:rsidRDefault="00B54EE9" w:rsidP="00C01BB1">
      <w:pPr>
        <w:pStyle w:val="NoSpacing"/>
        <w:numPr>
          <w:ilvl w:val="0"/>
          <w:numId w:val="4"/>
        </w:numPr>
        <w:tabs>
          <w:tab w:val="clear" w:pos="786"/>
        </w:tabs>
        <w:ind w:left="709" w:hanging="643"/>
        <w:rPr>
          <w:rFonts w:ascii="Times New Roman" w:hAnsi="Times New Roman"/>
          <w:lang w:val="ru-RU"/>
        </w:rPr>
      </w:pPr>
      <w:r w:rsidRPr="003E7427">
        <w:rPr>
          <w:rFonts w:ascii="Times New Roman" w:hAnsi="Times New Roman"/>
          <w:lang w:val="ru-RU"/>
        </w:rPr>
        <w:t>Възпалителни ставни заболявания. Ревматоиден артрит.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Възпалителни ставни заболявания. Ювенилен хроничен артрит.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 xml:space="preserve">Анкилозиращ спондилит </w:t>
      </w:r>
      <w:r w:rsidRPr="003E7427">
        <w:rPr>
          <w:rFonts w:ascii="Times New Roman" w:hAnsi="Times New Roman"/>
          <w:sz w:val="28"/>
          <w:szCs w:val="28"/>
        </w:rPr>
        <w:t>(</w:t>
      </w:r>
      <w:r w:rsidRPr="00B438D7">
        <w:rPr>
          <w:rFonts w:ascii="Times New Roman" w:hAnsi="Times New Roman"/>
          <w:sz w:val="28"/>
          <w:szCs w:val="28"/>
        </w:rPr>
        <w:t>Болест на Бехтерев</w:t>
      </w:r>
      <w:r w:rsidRPr="003E7427">
        <w:rPr>
          <w:rFonts w:ascii="Times New Roman" w:hAnsi="Times New Roman"/>
          <w:sz w:val="28"/>
          <w:szCs w:val="28"/>
        </w:rPr>
        <w:t>)</w:t>
      </w:r>
      <w:r w:rsidRPr="00B438D7">
        <w:rPr>
          <w:rFonts w:ascii="Times New Roman" w:hAnsi="Times New Roman"/>
          <w:sz w:val="28"/>
          <w:szCs w:val="28"/>
        </w:rPr>
        <w:t>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Псориатичен артрит.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Синдром на Райтер.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Системен лупус еритематозус.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lastRenderedPageBreak/>
        <w:t xml:space="preserve">Прогресивна системна склероза (склеродермия). 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Дерматомиозит и полимиозит.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Микрокристални артропатии. Подагра.</w:t>
      </w:r>
    </w:p>
    <w:p w:rsidR="00B54EE9" w:rsidRPr="00B438D7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 xml:space="preserve">Дегенеративни ставни заболявания. Остеоартроза. </w:t>
      </w:r>
    </w:p>
    <w:p w:rsidR="00B54EE9" w:rsidRDefault="00B54EE9" w:rsidP="00C01BB1">
      <w:pPr>
        <w:pStyle w:val="ListParagraph"/>
        <w:numPr>
          <w:ilvl w:val="0"/>
          <w:numId w:val="4"/>
        </w:numPr>
        <w:tabs>
          <w:tab w:val="num" w:pos="-3969"/>
        </w:tabs>
        <w:spacing w:line="240" w:lineRule="auto"/>
        <w:ind w:left="709" w:hanging="643"/>
        <w:rPr>
          <w:rFonts w:ascii="Times New Roman" w:hAnsi="Times New Roman"/>
          <w:sz w:val="28"/>
          <w:szCs w:val="28"/>
        </w:rPr>
      </w:pPr>
      <w:r w:rsidRPr="00B438D7">
        <w:rPr>
          <w:rFonts w:ascii="Times New Roman" w:hAnsi="Times New Roman"/>
          <w:sz w:val="28"/>
          <w:szCs w:val="28"/>
        </w:rPr>
        <w:t>Дегенеративни ставни заболявания. Остеопороза.</w:t>
      </w:r>
    </w:p>
    <w:p w:rsidR="00C01BB1" w:rsidRDefault="00C01BB1" w:rsidP="00C01BB1">
      <w:pPr>
        <w:pStyle w:val="ListParagraph"/>
        <w:rPr>
          <w:rFonts w:ascii="Times New Roman" w:hAnsi="Times New Roman"/>
          <w:sz w:val="28"/>
          <w:szCs w:val="28"/>
        </w:rPr>
      </w:pPr>
    </w:p>
    <w:p w:rsidR="00C01BB1" w:rsidRDefault="00C01BB1" w:rsidP="00C01BB1">
      <w:pPr>
        <w:pStyle w:val="ListParagraph"/>
        <w:rPr>
          <w:rFonts w:ascii="Times New Roman" w:hAnsi="Times New Roman"/>
          <w:sz w:val="28"/>
          <w:szCs w:val="28"/>
        </w:rPr>
      </w:pPr>
    </w:p>
    <w:p w:rsidR="00C01BB1" w:rsidRPr="00B438D7" w:rsidRDefault="00C01BB1" w:rsidP="00C01BB1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г.</w:t>
      </w:r>
    </w:p>
    <w:sectPr w:rsidR="00C01BB1" w:rsidRPr="00B438D7" w:rsidSect="003E7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2B" w:rsidRDefault="005D542B">
      <w:r>
        <w:separator/>
      </w:r>
    </w:p>
  </w:endnote>
  <w:endnote w:type="continuationSeparator" w:id="0">
    <w:p w:rsidR="005D542B" w:rsidRDefault="005D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20" w:rsidRDefault="006F5620" w:rsidP="00CA5B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31D12">
      <w:rPr>
        <w:rStyle w:val="PageNumber"/>
      </w:rPr>
      <w:fldChar w:fldCharType="separate"/>
    </w:r>
    <w:r w:rsidR="00331D12">
      <w:rPr>
        <w:rStyle w:val="PageNumber"/>
        <w:noProof/>
      </w:rPr>
      <w:t>4</w:t>
    </w:r>
    <w:r>
      <w:rPr>
        <w:rStyle w:val="PageNumber"/>
      </w:rPr>
      <w:fldChar w:fldCharType="end"/>
    </w:r>
  </w:p>
  <w:p w:rsidR="006F5620" w:rsidRDefault="006F5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B96" w:rsidRDefault="00CA5B96" w:rsidP="00A870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427">
      <w:rPr>
        <w:rStyle w:val="PageNumber"/>
        <w:noProof/>
      </w:rPr>
      <w:t>2</w:t>
    </w:r>
    <w:r>
      <w:rPr>
        <w:rStyle w:val="PageNumber"/>
      </w:rPr>
      <w:fldChar w:fldCharType="end"/>
    </w:r>
  </w:p>
  <w:p w:rsidR="00CA5B96" w:rsidRDefault="00CA5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42" w:rsidRDefault="00610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2B" w:rsidRDefault="005D542B">
      <w:r>
        <w:separator/>
      </w:r>
    </w:p>
  </w:footnote>
  <w:footnote w:type="continuationSeparator" w:id="0">
    <w:p w:rsidR="005D542B" w:rsidRDefault="005D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42" w:rsidRDefault="00610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-11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24"/>
      <w:gridCol w:w="5406"/>
      <w:gridCol w:w="2339"/>
    </w:tblGrid>
    <w:tr w:rsidR="00610E42" w:rsidRPr="00610E42" w:rsidTr="00C5019E">
      <w:trPr>
        <w:cantSplit/>
        <w:trHeight w:val="277"/>
      </w:trPr>
      <w:tc>
        <w:tcPr>
          <w:tcW w:w="18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right" w:pos="1768"/>
              <w:tab w:val="center" w:pos="4536"/>
            </w:tabs>
            <w:suppressAutoHyphens/>
            <w:autoSpaceDN w:val="0"/>
            <w:spacing w:line="240" w:lineRule="auto"/>
            <w:ind w:left="-454"/>
            <w:jc w:val="center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Calibri" w:eastAsia="Calibri" w:hAnsi="Calibri"/>
              <w:sz w:val="22"/>
              <w:szCs w:val="24"/>
              <w:lang w:val="bg-BG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5.85pt;margin-top:2.7pt;width:44.05pt;height:45pt;z-index:251658240;visibility:visible">
                <v:imagedata r:id="rId1" o:title=""/>
              </v:shape>
              <o:OLEObject Type="Embed" ProgID="Unknown" ShapeID="_x0000_s2050" DrawAspect="Content" ObjectID="_1634572963" r:id="rId2"/>
            </w:object>
          </w:r>
          <w:r w:rsidRPr="00610E42">
            <w:rPr>
              <w:rFonts w:ascii="Times New Roman" w:eastAsia="Calibri" w:hAnsi="Times New Roman"/>
              <w:b/>
              <w:sz w:val="36"/>
              <w:szCs w:val="36"/>
              <w:lang w:val="bg-BG"/>
            </w:rPr>
            <w:t xml:space="preserve">         </w:t>
          </w:r>
        </w:p>
      </w:tc>
      <w:tc>
        <w:tcPr>
          <w:tcW w:w="54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b/>
              <w:sz w:val="24"/>
              <w:szCs w:val="24"/>
              <w:lang w:val="bg-BG" w:eastAsia="bg-BG"/>
            </w:rPr>
          </w:pPr>
          <w:r w:rsidRPr="00610E42">
            <w:rPr>
              <w:rFonts w:ascii="Times New Roman" w:hAnsi="Times New Roman"/>
              <w:b/>
              <w:sz w:val="24"/>
              <w:szCs w:val="24"/>
              <w:lang w:val="bg-BG" w:eastAsia="bg-BG"/>
            </w:rPr>
            <w:t>ФОРМУЛЯР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Индекс: Фо 04.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en-US"/>
            </w:rPr>
            <w:t>0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1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en-US"/>
            </w:rPr>
            <w:t>.0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1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en-US"/>
            </w:rPr>
            <w:t>-0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2</w:t>
          </w:r>
        </w:p>
      </w:tc>
    </w:tr>
    <w:tr w:rsidR="00610E42" w:rsidRPr="00610E42" w:rsidTr="00C5019E">
      <w:trPr>
        <w:cantSplit/>
        <w:trHeight w:val="277"/>
      </w:trPr>
      <w:tc>
        <w:tcPr>
          <w:tcW w:w="18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sz w:val="22"/>
              <w:szCs w:val="24"/>
              <w:lang w:val="bg-BG" w:eastAsia="bg-BG"/>
            </w:rPr>
          </w:pPr>
        </w:p>
      </w:tc>
      <w:tc>
        <w:tcPr>
          <w:tcW w:w="540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sz w:val="32"/>
              <w:szCs w:val="24"/>
              <w:lang w:val="bg-BG" w:eastAsia="bg-BG"/>
            </w:rPr>
          </w:pP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Times New Roman" w:hAnsi="Times New Roman"/>
              <w:sz w:val="22"/>
              <w:szCs w:val="24"/>
              <w:lang w:val="bg-BG" w:eastAsia="bg-BG"/>
            </w:rPr>
          </w:pPr>
          <w:r w:rsidRPr="00610E42">
            <w:rPr>
              <w:rFonts w:ascii="Times New Roman" w:hAnsi="Times New Roman"/>
              <w:sz w:val="22"/>
              <w:szCs w:val="24"/>
              <w:lang w:val="bg-BG" w:eastAsia="bg-BG"/>
            </w:rPr>
            <w:t>Издание: П</w:t>
          </w:r>
        </w:p>
      </w:tc>
    </w:tr>
    <w:tr w:rsidR="00610E42" w:rsidRPr="00610E42" w:rsidTr="00C5019E">
      <w:trPr>
        <w:cantSplit/>
        <w:trHeight w:val="277"/>
      </w:trPr>
      <w:tc>
        <w:tcPr>
          <w:tcW w:w="18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sz w:val="22"/>
              <w:szCs w:val="24"/>
              <w:lang w:val="bg-BG" w:eastAsia="bg-BG"/>
            </w:rPr>
          </w:pPr>
        </w:p>
      </w:tc>
      <w:tc>
        <w:tcPr>
          <w:tcW w:w="54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eastAsia="Calibri" w:hAnsi="Times New Roman"/>
              <w:b/>
              <w:sz w:val="24"/>
              <w:szCs w:val="24"/>
              <w:lang w:val="bg-BG"/>
            </w:rPr>
          </w:pPr>
          <w:r w:rsidRPr="00610E42">
            <w:rPr>
              <w:rFonts w:ascii="Times New Roman" w:eastAsia="Calibri" w:hAnsi="Times New Roman"/>
              <w:b/>
              <w:sz w:val="24"/>
              <w:szCs w:val="24"/>
              <w:lang w:val="bg-BG"/>
            </w:rPr>
            <w:t>КОНСПЕКТ</w:t>
          </w:r>
        </w:p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 xml:space="preserve">Дата: </w:t>
          </w:r>
          <w:r w:rsidRPr="00610E42">
            <w:rPr>
              <w:rFonts w:ascii="Times New Roman" w:eastAsia="Calibri" w:hAnsi="Times New Roman"/>
              <w:sz w:val="22"/>
              <w:szCs w:val="24"/>
              <w:lang w:val="en-US"/>
            </w:rPr>
            <w:t>1</w:t>
          </w: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>4</w:t>
          </w:r>
          <w:r w:rsidRPr="00610E42">
            <w:rPr>
              <w:rFonts w:ascii="Times New Roman" w:eastAsia="Calibri" w:hAnsi="Times New Roman"/>
              <w:sz w:val="22"/>
              <w:szCs w:val="24"/>
              <w:lang w:val="en-US"/>
            </w:rPr>
            <w:t>.09.201</w:t>
          </w: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>3 г.</w:t>
          </w:r>
        </w:p>
      </w:tc>
    </w:tr>
    <w:tr w:rsidR="00610E42" w:rsidRPr="00610E42" w:rsidTr="00C5019E">
      <w:trPr>
        <w:cantSplit/>
        <w:trHeight w:val="278"/>
      </w:trPr>
      <w:tc>
        <w:tcPr>
          <w:tcW w:w="18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Times New Roman" w:hAnsi="Times New Roman"/>
              <w:sz w:val="19"/>
              <w:szCs w:val="24"/>
              <w:lang w:val="bg-BG" w:eastAsia="bg-BG"/>
            </w:rPr>
          </w:pPr>
        </w:p>
      </w:tc>
      <w:tc>
        <w:tcPr>
          <w:tcW w:w="540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Times New Roman" w:hAnsi="Times New Roman"/>
              <w:sz w:val="19"/>
              <w:szCs w:val="24"/>
              <w:lang w:val="bg-BG" w:eastAsia="bg-BG"/>
            </w:rPr>
          </w:pP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>Страница 1</w:t>
          </w:r>
          <w:r w:rsidRPr="00610E42">
            <w:rPr>
              <w:rFonts w:ascii="Times New Roman" w:eastAsia="Calibri" w:hAnsi="Times New Roman"/>
              <w:sz w:val="24"/>
              <w:szCs w:val="24"/>
              <w:lang w:val="bg-BG"/>
            </w:rPr>
            <w:t xml:space="preserve"> от </w:t>
          </w:r>
          <w:r w:rsidRPr="00610E42">
            <w:rPr>
              <w:rFonts w:ascii="Times New Roman" w:eastAsia="Calibri" w:hAnsi="Times New Roman"/>
              <w:sz w:val="22"/>
              <w:szCs w:val="22"/>
              <w:lang w:val="bg-BG"/>
            </w:rPr>
            <w:t>2</w:t>
          </w:r>
        </w:p>
      </w:tc>
    </w:tr>
  </w:tbl>
  <w:p w:rsidR="00610E42" w:rsidRDefault="00610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-11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24"/>
      <w:gridCol w:w="5406"/>
      <w:gridCol w:w="2339"/>
    </w:tblGrid>
    <w:tr w:rsidR="00610E42" w:rsidRPr="00610E42" w:rsidTr="00C5019E">
      <w:trPr>
        <w:cantSplit/>
        <w:trHeight w:val="277"/>
      </w:trPr>
      <w:tc>
        <w:tcPr>
          <w:tcW w:w="18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right" w:pos="1768"/>
              <w:tab w:val="center" w:pos="4536"/>
            </w:tabs>
            <w:suppressAutoHyphens/>
            <w:autoSpaceDN w:val="0"/>
            <w:spacing w:line="240" w:lineRule="auto"/>
            <w:ind w:left="-454"/>
            <w:jc w:val="center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Calibri" w:eastAsia="Calibri" w:hAnsi="Calibri"/>
              <w:sz w:val="22"/>
              <w:szCs w:val="24"/>
              <w:lang w:val="bg-BG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5.85pt;margin-top:2.7pt;width:44.05pt;height:45pt;z-index:251657216;visibility:visible">
                <v:imagedata r:id="rId1" o:title=""/>
              </v:shape>
              <o:OLEObject Type="Embed" ProgID="Unknown" ShapeID="_x0000_s2049" DrawAspect="Content" ObjectID="_1634572964" r:id="rId2"/>
            </w:object>
          </w:r>
          <w:r w:rsidRPr="00610E42">
            <w:rPr>
              <w:rFonts w:ascii="Times New Roman" w:eastAsia="Calibri" w:hAnsi="Times New Roman"/>
              <w:b/>
              <w:sz w:val="36"/>
              <w:szCs w:val="36"/>
              <w:lang w:val="bg-BG"/>
            </w:rPr>
            <w:t xml:space="preserve">         </w:t>
          </w:r>
        </w:p>
      </w:tc>
      <w:tc>
        <w:tcPr>
          <w:tcW w:w="54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b/>
              <w:sz w:val="24"/>
              <w:szCs w:val="24"/>
              <w:lang w:val="bg-BG" w:eastAsia="bg-BG"/>
            </w:rPr>
          </w:pPr>
          <w:r w:rsidRPr="00610E42">
            <w:rPr>
              <w:rFonts w:ascii="Times New Roman" w:hAnsi="Times New Roman"/>
              <w:b/>
              <w:sz w:val="24"/>
              <w:szCs w:val="24"/>
              <w:lang w:val="bg-BG" w:eastAsia="bg-BG"/>
            </w:rPr>
            <w:t>ФОРМУЛЯР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Индекс: Фо 04.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en-US"/>
            </w:rPr>
            <w:t>0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1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en-US"/>
            </w:rPr>
            <w:t>.0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1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en-US"/>
            </w:rPr>
            <w:t>-0</w:t>
          </w:r>
          <w:r w:rsidRPr="00610E42">
            <w:rPr>
              <w:rFonts w:ascii="Times New Roman" w:eastAsia="Calibri" w:hAnsi="Times New Roman"/>
              <w:b/>
              <w:sz w:val="22"/>
              <w:szCs w:val="24"/>
              <w:lang w:val="bg-BG"/>
            </w:rPr>
            <w:t>2</w:t>
          </w:r>
        </w:p>
      </w:tc>
    </w:tr>
    <w:tr w:rsidR="00610E42" w:rsidRPr="00610E42" w:rsidTr="00C5019E">
      <w:trPr>
        <w:cantSplit/>
        <w:trHeight w:val="277"/>
      </w:trPr>
      <w:tc>
        <w:tcPr>
          <w:tcW w:w="18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sz w:val="22"/>
              <w:szCs w:val="24"/>
              <w:lang w:val="bg-BG" w:eastAsia="bg-BG"/>
            </w:rPr>
          </w:pPr>
        </w:p>
      </w:tc>
      <w:tc>
        <w:tcPr>
          <w:tcW w:w="540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sz w:val="32"/>
              <w:szCs w:val="24"/>
              <w:lang w:val="bg-BG" w:eastAsia="bg-BG"/>
            </w:rPr>
          </w:pP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Times New Roman" w:hAnsi="Times New Roman"/>
              <w:sz w:val="22"/>
              <w:szCs w:val="24"/>
              <w:lang w:val="bg-BG" w:eastAsia="bg-BG"/>
            </w:rPr>
          </w:pPr>
          <w:r w:rsidRPr="00610E42">
            <w:rPr>
              <w:rFonts w:ascii="Times New Roman" w:hAnsi="Times New Roman"/>
              <w:sz w:val="22"/>
              <w:szCs w:val="24"/>
              <w:lang w:val="bg-BG" w:eastAsia="bg-BG"/>
            </w:rPr>
            <w:t>Издание: П</w:t>
          </w:r>
        </w:p>
      </w:tc>
    </w:tr>
    <w:tr w:rsidR="00610E42" w:rsidRPr="00610E42" w:rsidTr="00C5019E">
      <w:trPr>
        <w:cantSplit/>
        <w:trHeight w:val="277"/>
      </w:trPr>
      <w:tc>
        <w:tcPr>
          <w:tcW w:w="18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hAnsi="Times New Roman"/>
              <w:sz w:val="22"/>
              <w:szCs w:val="24"/>
              <w:lang w:val="bg-BG" w:eastAsia="bg-BG"/>
            </w:rPr>
          </w:pPr>
        </w:p>
      </w:tc>
      <w:tc>
        <w:tcPr>
          <w:tcW w:w="54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Times New Roman" w:eastAsia="Calibri" w:hAnsi="Times New Roman"/>
              <w:b/>
              <w:sz w:val="24"/>
              <w:szCs w:val="24"/>
              <w:lang w:val="bg-BG"/>
            </w:rPr>
          </w:pPr>
          <w:r w:rsidRPr="00610E42">
            <w:rPr>
              <w:rFonts w:ascii="Times New Roman" w:eastAsia="Calibri" w:hAnsi="Times New Roman"/>
              <w:b/>
              <w:sz w:val="24"/>
              <w:szCs w:val="24"/>
              <w:lang w:val="bg-BG"/>
            </w:rPr>
            <w:t>КОНСПЕКТ</w:t>
          </w:r>
        </w:p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 xml:space="preserve">Дата: </w:t>
          </w:r>
          <w:r w:rsidRPr="00610E42">
            <w:rPr>
              <w:rFonts w:ascii="Times New Roman" w:eastAsia="Calibri" w:hAnsi="Times New Roman"/>
              <w:sz w:val="22"/>
              <w:szCs w:val="24"/>
              <w:lang w:val="en-US"/>
            </w:rPr>
            <w:t>1</w:t>
          </w: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>4</w:t>
          </w:r>
          <w:r w:rsidRPr="00610E42">
            <w:rPr>
              <w:rFonts w:ascii="Times New Roman" w:eastAsia="Calibri" w:hAnsi="Times New Roman"/>
              <w:sz w:val="22"/>
              <w:szCs w:val="24"/>
              <w:lang w:val="en-US"/>
            </w:rPr>
            <w:t>.09.201</w:t>
          </w: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>3 г.</w:t>
          </w:r>
        </w:p>
      </w:tc>
    </w:tr>
    <w:tr w:rsidR="00610E42" w:rsidRPr="00610E42" w:rsidTr="00C5019E">
      <w:trPr>
        <w:cantSplit/>
        <w:trHeight w:val="278"/>
      </w:trPr>
      <w:tc>
        <w:tcPr>
          <w:tcW w:w="18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Times New Roman" w:hAnsi="Times New Roman"/>
              <w:sz w:val="19"/>
              <w:szCs w:val="24"/>
              <w:lang w:val="bg-BG" w:eastAsia="bg-BG"/>
            </w:rPr>
          </w:pPr>
        </w:p>
      </w:tc>
      <w:tc>
        <w:tcPr>
          <w:tcW w:w="540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Times New Roman" w:hAnsi="Times New Roman"/>
              <w:sz w:val="19"/>
              <w:szCs w:val="24"/>
              <w:lang w:val="bg-BG" w:eastAsia="bg-BG"/>
            </w:rPr>
          </w:pP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610E42" w:rsidRPr="00610E42" w:rsidRDefault="00610E42" w:rsidP="00610E42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Calibri" w:eastAsia="Calibri" w:hAnsi="Calibri"/>
              <w:sz w:val="22"/>
              <w:szCs w:val="22"/>
              <w:lang w:val="bg-BG"/>
            </w:rPr>
          </w:pPr>
          <w:r w:rsidRPr="00610E42">
            <w:rPr>
              <w:rFonts w:ascii="Times New Roman" w:eastAsia="Calibri" w:hAnsi="Times New Roman"/>
              <w:sz w:val="22"/>
              <w:szCs w:val="24"/>
              <w:lang w:val="bg-BG"/>
            </w:rPr>
            <w:t>Страница 1</w:t>
          </w:r>
          <w:r w:rsidRPr="00610E42">
            <w:rPr>
              <w:rFonts w:ascii="Times New Roman" w:eastAsia="Calibri" w:hAnsi="Times New Roman"/>
              <w:sz w:val="24"/>
              <w:szCs w:val="24"/>
              <w:lang w:val="bg-BG"/>
            </w:rPr>
            <w:t xml:space="preserve"> от </w:t>
          </w:r>
          <w:r w:rsidRPr="00610E42">
            <w:rPr>
              <w:rFonts w:ascii="Times New Roman" w:eastAsia="Calibri" w:hAnsi="Times New Roman"/>
              <w:sz w:val="22"/>
              <w:szCs w:val="22"/>
              <w:lang w:val="bg-BG"/>
            </w:rPr>
            <w:t>2</w:t>
          </w:r>
        </w:p>
      </w:tc>
    </w:tr>
  </w:tbl>
  <w:p w:rsidR="00610E42" w:rsidRDefault="00610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7B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4117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F52F74"/>
    <w:multiLevelType w:val="hybridMultilevel"/>
    <w:tmpl w:val="684E0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028C2"/>
    <w:multiLevelType w:val="hybridMultilevel"/>
    <w:tmpl w:val="BFE8D3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55B8"/>
    <w:multiLevelType w:val="hybridMultilevel"/>
    <w:tmpl w:val="5520FC5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12720"/>
    <w:multiLevelType w:val="hybridMultilevel"/>
    <w:tmpl w:val="4E08D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62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493ACC"/>
    <w:multiLevelType w:val="hybridMultilevel"/>
    <w:tmpl w:val="2CA085E4"/>
    <w:lvl w:ilvl="0" w:tplc="5B566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8594"/>
        </w:tabs>
        <w:ind w:left="8594" w:hanging="360"/>
      </w:pPr>
    </w:lvl>
    <w:lvl w:ilvl="2" w:tplc="0402001B">
      <w:start w:val="1"/>
      <w:numFmt w:val="decimal"/>
      <w:lvlText w:val="%3."/>
      <w:lvlJc w:val="left"/>
      <w:pPr>
        <w:tabs>
          <w:tab w:val="num" w:pos="9314"/>
        </w:tabs>
        <w:ind w:left="9314" w:hanging="360"/>
      </w:pPr>
    </w:lvl>
    <w:lvl w:ilvl="3" w:tplc="0402000F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020019">
      <w:start w:val="1"/>
      <w:numFmt w:val="decimal"/>
      <w:lvlText w:val="%5."/>
      <w:lvlJc w:val="left"/>
      <w:pPr>
        <w:tabs>
          <w:tab w:val="num" w:pos="10754"/>
        </w:tabs>
        <w:ind w:left="10754" w:hanging="360"/>
      </w:pPr>
    </w:lvl>
    <w:lvl w:ilvl="5" w:tplc="0402001B">
      <w:start w:val="1"/>
      <w:numFmt w:val="decimal"/>
      <w:lvlText w:val="%6."/>
      <w:lvlJc w:val="left"/>
      <w:pPr>
        <w:tabs>
          <w:tab w:val="num" w:pos="11474"/>
        </w:tabs>
        <w:ind w:left="11474" w:hanging="360"/>
      </w:pPr>
    </w:lvl>
    <w:lvl w:ilvl="6" w:tplc="0402000F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020019">
      <w:start w:val="1"/>
      <w:numFmt w:val="decimal"/>
      <w:lvlText w:val="%8."/>
      <w:lvlJc w:val="left"/>
      <w:pPr>
        <w:tabs>
          <w:tab w:val="num" w:pos="12914"/>
        </w:tabs>
        <w:ind w:left="12914" w:hanging="360"/>
      </w:pPr>
    </w:lvl>
    <w:lvl w:ilvl="8" w:tplc="0402001B">
      <w:start w:val="1"/>
      <w:numFmt w:val="decimal"/>
      <w:lvlText w:val="%9."/>
      <w:lvlJc w:val="left"/>
      <w:pPr>
        <w:tabs>
          <w:tab w:val="num" w:pos="13634"/>
        </w:tabs>
        <w:ind w:left="13634" w:hanging="360"/>
      </w:pPr>
    </w:lvl>
  </w:abstractNum>
  <w:abstractNum w:abstractNumId="8" w15:restartNumberingAfterBreak="0">
    <w:nsid w:val="5CD2363A"/>
    <w:multiLevelType w:val="hybridMultilevel"/>
    <w:tmpl w:val="59DE1F28"/>
    <w:lvl w:ilvl="0" w:tplc="FFFFFFF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FFFFFFFF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47"/>
    <w:rsid w:val="0015278C"/>
    <w:rsid w:val="0017037E"/>
    <w:rsid w:val="00231062"/>
    <w:rsid w:val="002804D6"/>
    <w:rsid w:val="00283D6E"/>
    <w:rsid w:val="00316230"/>
    <w:rsid w:val="00331D12"/>
    <w:rsid w:val="00356FD8"/>
    <w:rsid w:val="003E7427"/>
    <w:rsid w:val="004054F1"/>
    <w:rsid w:val="0055248D"/>
    <w:rsid w:val="005D542B"/>
    <w:rsid w:val="005E0033"/>
    <w:rsid w:val="00610E42"/>
    <w:rsid w:val="006E3160"/>
    <w:rsid w:val="006F5620"/>
    <w:rsid w:val="007245D5"/>
    <w:rsid w:val="007D6C47"/>
    <w:rsid w:val="00973A06"/>
    <w:rsid w:val="009A0AE2"/>
    <w:rsid w:val="00A52EE7"/>
    <w:rsid w:val="00A8708A"/>
    <w:rsid w:val="00AE7A98"/>
    <w:rsid w:val="00B438D7"/>
    <w:rsid w:val="00B54EE9"/>
    <w:rsid w:val="00B74F40"/>
    <w:rsid w:val="00C01BB1"/>
    <w:rsid w:val="00C207C8"/>
    <w:rsid w:val="00C5019E"/>
    <w:rsid w:val="00C63001"/>
    <w:rsid w:val="00CA5B96"/>
    <w:rsid w:val="00D74123"/>
    <w:rsid w:val="00E72DEC"/>
    <w:rsid w:val="00EA4444"/>
    <w:rsid w:val="00EC199C"/>
    <w:rsid w:val="00F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46806BD-0AF1-412A-8C4D-A9308FB5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B1"/>
    <w:pPr>
      <w:spacing w:line="360" w:lineRule="auto"/>
    </w:pPr>
    <w:rPr>
      <w:rFonts w:ascii="Arial" w:hAnsi="Arial"/>
      <w:sz w:val="28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01B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styleId="NoSpacing">
    <w:name w:val="No Spacing"/>
    <w:uiPriority w:val="1"/>
    <w:qFormat/>
    <w:rsid w:val="00C01BB1"/>
    <w:rPr>
      <w:rFonts w:ascii="Arial" w:hAnsi="Arial"/>
      <w:sz w:val="28"/>
      <w:lang w:val="en-GB" w:eastAsia="en-US"/>
    </w:rPr>
  </w:style>
  <w:style w:type="character" w:customStyle="1" w:styleId="1">
    <w:name w:val="Шрифт на абзаца по подразбиране1"/>
    <w:rsid w:val="0061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КОНСПЕКТ ЗА</vt:lpstr>
    </vt:vector>
  </TitlesOfParts>
  <Company>VMI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</dc:title>
  <dc:subject/>
  <dc:creator>SH</dc:creator>
  <cp:keywords/>
  <cp:lastModifiedBy>Tzanev-Home</cp:lastModifiedBy>
  <cp:revision>2</cp:revision>
  <cp:lastPrinted>2019-11-06T17:16:00Z</cp:lastPrinted>
  <dcterms:created xsi:type="dcterms:W3CDTF">2019-11-06T17:16:00Z</dcterms:created>
  <dcterms:modified xsi:type="dcterms:W3CDTF">2019-11-06T17:16:00Z</dcterms:modified>
</cp:coreProperties>
</file>